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700"/>
        <w:gridCol w:w="8406"/>
      </w:tblGrid>
      <w:tr>
        <w:trPr>
          <w:cantSplit/>
          <w:trHeight w:val="1500" w:hRule="atLeast"/>
        </w:trPr>
        <w:tc>
          <w:tcPr>
            <w:tcW w:type="dxa" w:w="1700"/>
            <w:tcBorders>
              <w:top w:val="none" w:color="FFFFFF" w:sz="0"/>
              <w:left w:val="none" w:color="FFFFFF" w:sz="0"/>
              <w:bottom w:val="none" w:color="FFFFFF" w:sz="0"/>
              <w:right w:val="none" w:color="FFFFFF" w:sz="0"/>
            </w:tcBorders>
            <w:shd w:fill="FFFFFF" w:color="auto" w:val="clear"/>
            <w:tcMar>
              <w:top w:type="dxa" w:w="80"/>
              <w:left w:type="dxa" w:w="120"/>
              <w:bottom w:type="dxa" w:w="80"/>
              <w:right w:type="dxa" w:w="120"/>
            </w:tcMar>
            <w:vAlign w:val="center"/>
          </w:tcPr>
          <w:p>
            <w:pPr>
              <w:spacing w:after="0" w:before="0"/>
              <w:jc w:val="center"/>
            </w:pPr>
            <w:r>
              <w:drawing>
                <wp:inline distT="0" distB="0" distL="0" distR="0">
                  <wp:extent cx="914400" cy="914400"/>
                  <wp:effectExtent t="0" r="0" b="0" l="0"/>
                  <wp:docPr id="1" name="logo" descr="Logo Upcycle Academy"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914400" cy="914400"/>
                          </a:xfrm>
                          <a:prstGeom prst="rect">
                            <a:avLst/>
                          </a:prstGeom>
                        </pic:spPr>
                      </pic:pic>
                    </a:graphicData>
                  </a:graphic>
                </wp:inline>
              </w:drawing>
            </w:r>
          </w:p>
        </w:tc>
        <w:tc>
          <w:tcPr>
            <w:tcW w:type="dxa" w:w="8406"/>
            <w:tcBorders>
              <w:top w:val="none" w:color="FFFFFF" w:sz="0"/>
              <w:left w:val="none" w:color="FFFFFF" w:sz="0"/>
              <w:bottom w:val="none" w:color="FFFFFF" w:sz="0"/>
              <w:right w:val="none" w:color="FFFFFF" w:sz="0"/>
            </w:tcBorders>
            <w:shd w:fill="1B5B3F" w:color="auto" w:val="clear"/>
            <w:tcMar>
              <w:top w:type="dxa" w:w="80"/>
              <w:left w:type="dxa" w:w="120"/>
              <w:bottom w:type="dxa" w:w="80"/>
              <w:right w:type="dxa" w:w="120"/>
            </w:tcMar>
            <w:vAlign w:val="center"/>
          </w:tcPr>
          <w:p>
            <w:pPr>
              <w:spacing w:after="40" w:before="0"/>
              <w:jc w:val="left"/>
            </w:pPr>
            <w:r>
              <w:rPr>
                <w:rFonts w:ascii="Arial" w:cs="Arial" w:eastAsia="Arial" w:hAnsi="Arial"/>
                <w:b/>
                <w:bCs/>
                <w:color w:val="E8F55A"/>
                <w:sz w:val="44"/>
                <w:szCs w:val="44"/>
              </w:rPr>
              <w:t xml:space="preserve">CONVENTION DE DISTRIBUTION DES KITS</w:t>
            </w:r>
          </w:p>
          <w:p>
            <w:pPr>
              <w:spacing w:after="40" w:before="0"/>
              <w:jc w:val="left"/>
            </w:pPr>
            <w:r>
              <w:rPr>
                <w:rFonts w:ascii="Arial" w:cs="Arial" w:eastAsia="Arial" w:hAnsi="Arial"/>
                <w:color w:val="F6EDC8"/>
                <w:sz w:val="23"/>
                <w:szCs w:val="23"/>
              </w:rPr>
              <w:t xml:space="preserve">Partenaires de distribution : bailleurs sociaux, opérateur de mobilité, acteurs de l’enfance et de la jeunesse</w:t>
            </w:r>
          </w:p>
          <w:p>
            <w:pPr>
              <w:spacing w:after="0" w:before="0"/>
              <w:jc w:val="left"/>
            </w:pPr>
            <w:r>
              <w:rPr>
                <w:rFonts w:ascii="Arial" w:cs="Arial" w:eastAsia="Arial" w:hAnsi="Arial"/>
                <w:i/>
                <w:iCs/>
                <w:color w:val="BFD8BF"/>
                <w:sz w:val="18"/>
                <w:szCs w:val="18"/>
              </w:rPr>
              <w:t xml:space="preserve">Modèle indicatif  ·  à faire valider par un conseil juridique  ·  passages entre crochets à compléter</w:t>
            </w:r>
          </w:p>
        </w:tc>
      </w:tr>
    </w:tbl>
    <w:p>
      <w:pPr>
        <w:spacing w:after="0" w:before="0" w:line="140" w:lineRule="exact"/>
      </w:pPr>
    </w:p>
    <w:p>
      <w:pPr>
        <w:spacing w:after="60" w:before="0"/>
        <w:jc w:val="left"/>
      </w:pPr>
      <w:r>
        <w:rPr>
          <w:rFonts w:ascii="Arial" w:cs="Arial" w:eastAsia="Arial" w:hAnsi="Arial"/>
          <w:b w:val="false"/>
          <w:bCs w:val="false"/>
          <w:color w:val="232438"/>
          <w:sz w:val="20"/>
          <w:szCs w:val="20"/>
        </w:rPr>
        <w:t xml:space="preserve"/>
      </w:r>
      <w:r>
        <w:rPr>
          <w:rFonts w:ascii="Arial" w:cs="Arial" w:eastAsia="Arial" w:hAnsi="Arial"/>
          <w:b/>
          <w:bCs/>
          <w:color w:val="1B5B3F"/>
          <w:sz w:val="20"/>
          <w:szCs w:val="20"/>
        </w:rPr>
        <w:t xml:space="preserve">Entre :</w:t>
      </w:r>
      <w:r>
        <w:rPr>
          <w:rFonts w:ascii="Arial" w:cs="Arial" w:eastAsia="Arial" w:hAnsi="Arial"/>
          <w:b w:val="false"/>
          <w:bCs w:val="false"/>
          <w:color w:val="232438"/>
          <w:sz w:val="20"/>
          <w:szCs w:val="20"/>
        </w:rPr>
        <w:t xml:space="preserve"> </w:t>
      </w:r>
      <w:r>
        <w:rPr>
          <w:rFonts w:ascii="Arial" w:cs="Arial" w:eastAsia="Arial" w:hAnsi="Arial"/>
          <w:b/>
          <w:bCs/>
          <w:color w:val="1B5B3F"/>
          <w:sz w:val="20"/>
          <w:szCs w:val="20"/>
        </w:rPr>
        <w:t xml:space="preserve">Upcycle Academy</w:t>
      </w:r>
      <w:r>
        <w:rPr>
          <w:rFonts w:ascii="Arial" w:cs="Arial" w:eastAsia="Arial" w:hAnsi="Arial"/>
          <w:b w:val="false"/>
          <w:bCs w:val="false"/>
          <w:color w:val="232438"/>
          <w:sz w:val="20"/>
          <w:szCs w:val="20"/>
        </w:rPr>
        <w:t xml:space="preserve">, [forme juridique, SIREN], 862 route de Saint-Laurent-du-Var, ZA Les Nertières, 06610 La Gaude, représentée par Sarah TENAFER, [fonction], ci-après « Upcycle Academy »,</w:t>
      </w:r>
    </w:p>
    <w:p>
      <w:pPr>
        <w:spacing w:after="140" w:before="0"/>
        <w:jc w:val="left"/>
      </w:pPr>
      <w:r>
        <w:rPr>
          <w:rFonts w:ascii="Arial" w:cs="Arial" w:eastAsia="Arial" w:hAnsi="Arial"/>
          <w:b w:val="false"/>
          <w:bCs w:val="false"/>
          <w:color w:val="232438"/>
          <w:sz w:val="20"/>
          <w:szCs w:val="20"/>
        </w:rPr>
        <w:t xml:space="preserve"/>
      </w:r>
      <w:r>
        <w:rPr>
          <w:rFonts w:ascii="Arial" w:cs="Arial" w:eastAsia="Arial" w:hAnsi="Arial"/>
          <w:b/>
          <w:bCs/>
          <w:color w:val="1B5B3F"/>
          <w:sz w:val="20"/>
          <w:szCs w:val="20"/>
        </w:rPr>
        <w:t xml:space="preserve">Et :</w:t>
      </w:r>
      <w:r>
        <w:rPr>
          <w:rFonts w:ascii="Arial" w:cs="Arial" w:eastAsia="Arial" w:hAnsi="Arial"/>
          <w:b w:val="false"/>
          <w:bCs w:val="false"/>
          <w:color w:val="232438"/>
          <w:sz w:val="20"/>
          <w:szCs w:val="20"/>
        </w:rPr>
        <w:t xml:space="preserve"> </w:t>
      </w:r>
      <w:r>
        <w:rPr>
          <w:rFonts w:ascii="Arial" w:cs="Arial" w:eastAsia="Arial" w:hAnsi="Arial"/>
          <w:b/>
          <w:bCs/>
          <w:color w:val="1B5B3F"/>
          <w:sz w:val="20"/>
          <w:szCs w:val="20"/>
        </w:rPr>
        <w:t xml:space="preserve">[Partenaire de distribution]</w:t>
      </w:r>
      <w:r>
        <w:rPr>
          <w:rFonts w:ascii="Arial" w:cs="Arial" w:eastAsia="Arial" w:hAnsi="Arial"/>
          <w:b w:val="false"/>
          <w:bCs w:val="false"/>
          <w:color w:val="232438"/>
          <w:sz w:val="20"/>
          <w:szCs w:val="20"/>
        </w:rPr>
        <w:t xml:space="preserve">, [forme juridique, SIREN], [adresse], représenté par [nom, fonction], ci-après « le Partenaire ».</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380" w:hRule="atLeast"/>
        </w:trPr>
        <w:tc>
          <w:tcPr>
            <w:tcW w:type="dxa" w:w="10106"/>
            <w:tcBorders>
              <w:top w:val="none" w:color="FFFFFF" w:sz="0"/>
              <w:left w:val="none" w:color="FFFFFF" w:sz="0"/>
              <w:bottom w:val="none" w:color="FFFFFF" w:sz="0"/>
              <w:right w:val="none" w:color="FFFFFF" w:sz="0"/>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2"/>
                <w:szCs w:val="22"/>
              </w:rPr>
              <w:t xml:space="preserve">1  Objet</w:t>
            </w:r>
          </w:p>
        </w:tc>
      </w:tr>
    </w:tbl>
    <w:p/>
    <w:p>
      <w:pPr>
        <w:spacing w:after="70" w:before="0" w:line="270"/>
        <w:jc w:val="left"/>
      </w:pPr>
      <w:r>
        <w:rPr>
          <w:rFonts w:ascii="Arial" w:cs="Arial" w:eastAsia="Arial" w:hAnsi="Arial"/>
          <w:b w:val="false"/>
          <w:bCs w:val="false"/>
          <w:color w:val="232438"/>
          <w:sz w:val="20"/>
          <w:szCs w:val="20"/>
        </w:rPr>
        <w:t xml:space="preserve">La présente convention fixe les conditions dans lesquelles Upcycle Academy remet au Partenaire des </w:t>
      </w:r>
      <w:r>
        <w:rPr>
          <w:rFonts w:ascii="Arial" w:cs="Arial" w:eastAsia="Arial" w:hAnsi="Arial"/>
          <w:b/>
          <w:bCs/>
          <w:color w:val="1B5B3F"/>
          <w:sz w:val="20"/>
          <w:szCs w:val="20"/>
        </w:rPr>
        <w:t xml:space="preserve">objets et kits</w:t>
      </w:r>
      <w:r>
        <w:rPr>
          <w:rFonts w:ascii="Arial" w:cs="Arial" w:eastAsia="Arial" w:hAnsi="Arial"/>
          <w:b w:val="false"/>
          <w:bCs w:val="false"/>
          <w:color w:val="232438"/>
          <w:sz w:val="20"/>
          <w:szCs w:val="20"/>
        </w:rPr>
        <w:t xml:space="preserve"> (tote-bags, sacs bourse, trousses, kits à lacer, kits de géométrie) issus de la valorisation d’équipements de protection individuelle (EPI) jetables collectés auprès d’industriels du Pays de Grasse, pour que le Partenaire les offre gratuitement à ses locataires, clients ou publics.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380" w:hRule="atLeast"/>
        </w:trPr>
        <w:tc>
          <w:tcPr>
            <w:tcW w:type="dxa" w:w="10106"/>
            <w:tcBorders>
              <w:top w:val="none" w:color="FFFFFF" w:sz="0"/>
              <w:left w:val="none" w:color="FFFFFF" w:sz="0"/>
              <w:bottom w:val="none" w:color="FFFFFF" w:sz="0"/>
              <w:right w:val="none" w:color="FFFFFF" w:sz="0"/>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2"/>
                <w:szCs w:val="22"/>
              </w:rPr>
              <w:t xml:space="preserve">2  Kits remis</w:t>
            </w:r>
          </w:p>
        </w:tc>
      </w:tr>
    </w:tbl>
    <w:p/>
    <w:p>
      <w:pPr>
        <w:spacing w:after="70" w:before="0" w:line="270"/>
        <w:jc w:val="left"/>
      </w:pPr>
      <w:r>
        <w:rPr>
          <w:rFonts w:ascii="Arial" w:cs="Arial" w:eastAsia="Arial" w:hAnsi="Arial"/>
          <w:b w:val="false"/>
          <w:bCs w:val="false"/>
          <w:color w:val="232438"/>
          <w:sz w:val="20"/>
          <w:szCs w:val="20"/>
        </w:rPr>
        <w:t xml:space="preserve">Nature des kits et contenu : [description, notice incluse]. Quantités : [nombre] kits, livrés en [nombre] remises selon le calendrier de l’annexe A. Les kits sont </w:t>
      </w:r>
      <w:r>
        <w:rPr>
          <w:rFonts w:ascii="Arial" w:cs="Arial" w:eastAsia="Arial" w:hAnsi="Arial"/>
          <w:b/>
          <w:bCs/>
          <w:color w:val="1B5B3F"/>
          <w:sz w:val="20"/>
          <w:szCs w:val="20"/>
        </w:rPr>
        <w:t xml:space="preserve">remis à titre gratuit</w:t>
      </w:r>
      <w:r>
        <w:rPr>
          <w:rFonts w:ascii="Arial" w:cs="Arial" w:eastAsia="Arial" w:hAnsi="Arial"/>
          <w:b w:val="false"/>
          <w:bCs w:val="false"/>
          <w:color w:val="232438"/>
          <w:sz w:val="20"/>
          <w:szCs w:val="20"/>
        </w:rPr>
        <w:t xml:space="preserve"> par Upcycle Academy ; leur conformité selon le public visé est vérifiée avant remise : [référentiel à confirmer].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380" w:hRule="atLeast"/>
        </w:trPr>
        <w:tc>
          <w:tcPr>
            <w:tcW w:type="dxa" w:w="10106"/>
            <w:tcBorders>
              <w:top w:val="none" w:color="FFFFFF" w:sz="0"/>
              <w:left w:val="none" w:color="FFFFFF" w:sz="0"/>
              <w:bottom w:val="none" w:color="FFFFFF" w:sz="0"/>
              <w:right w:val="none" w:color="FFFFFF" w:sz="0"/>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2"/>
                <w:szCs w:val="22"/>
              </w:rPr>
              <w:t xml:space="preserve">3  Engagements du Partenaire</w:t>
            </w:r>
          </w:p>
        </w:tc>
      </w:tr>
    </w:tbl>
    <w:p/>
    <w:p>
      <w:pPr>
        <w:spacing w:after="70" w:before="0" w:line="270"/>
        <w:jc w:val="left"/>
      </w:pPr>
      <w:r>
        <w:rPr>
          <w:rFonts w:ascii="Arial" w:cs="Arial" w:eastAsia="Arial" w:hAnsi="Arial"/>
          <w:b w:val="false"/>
          <w:bCs w:val="false"/>
          <w:color w:val="232438"/>
          <w:sz w:val="20"/>
          <w:szCs w:val="20"/>
        </w:rPr>
        <w:t xml:space="preserve">Offrir les kits </w:t>
      </w:r>
      <w:r>
        <w:rPr>
          <w:rFonts w:ascii="Arial" w:cs="Arial" w:eastAsia="Arial" w:hAnsi="Arial"/>
          <w:b/>
          <w:bCs/>
          <w:color w:val="1B5B3F"/>
          <w:sz w:val="20"/>
          <w:szCs w:val="20"/>
        </w:rPr>
        <w:t xml:space="preserve">gratuitement</w:t>
      </w:r>
      <w:r>
        <w:rPr>
          <w:rFonts w:ascii="Arial" w:cs="Arial" w:eastAsia="Arial" w:hAnsi="Arial"/>
          <w:b w:val="false"/>
          <w:bCs w:val="false"/>
          <w:color w:val="232438"/>
          <w:sz w:val="20"/>
          <w:szCs w:val="20"/>
        </w:rPr>
        <w:t xml:space="preserve">, sans contrepartie ni revente. Les remettre au public visé : [locataires, clients, voyageurs, enfants et familles]. Conserver une trace de la distribution (date, lieu ou canal, quantité). </w:t>
      </w:r>
      <w:r>
        <w:rPr>
          <w:rFonts w:ascii="Arial" w:cs="Arial" w:eastAsia="Arial" w:hAnsi="Arial"/>
          <w:b/>
          <w:bCs/>
          <w:color w:val="1B5B3F"/>
          <w:sz w:val="20"/>
          <w:szCs w:val="20"/>
        </w:rPr>
        <w:t xml:space="preserve">Déclarer chaque trimestre</w:t>
      </w:r>
      <w:r>
        <w:rPr>
          <w:rFonts w:ascii="Arial" w:cs="Arial" w:eastAsia="Arial" w:hAnsi="Arial"/>
          <w:b w:val="false"/>
          <w:bCs w:val="false"/>
          <w:color w:val="232438"/>
          <w:sz w:val="20"/>
          <w:szCs w:val="20"/>
        </w:rPr>
        <w:t xml:space="preserve"> le nombre de kits remis et le nombre de bénéficiaires estimé, au moyen de la fiche de l’annexe B.</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380" w:hRule="atLeast"/>
        </w:trPr>
        <w:tc>
          <w:tcPr>
            <w:tcW w:type="dxa" w:w="10106"/>
            <w:tcBorders>
              <w:top w:val="none" w:color="FFFFFF" w:sz="0"/>
              <w:left w:val="none" w:color="FFFFFF" w:sz="0"/>
              <w:bottom w:val="none" w:color="FFFFFF" w:sz="0"/>
              <w:right w:val="none" w:color="FFFFFF" w:sz="0"/>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2"/>
                <w:szCs w:val="22"/>
              </w:rPr>
              <w:t xml:space="preserve">4  Engagements d’Upcycle Academy</w:t>
            </w:r>
          </w:p>
        </w:tc>
      </w:tr>
    </w:tbl>
    <w:p/>
    <w:p>
      <w:pPr>
        <w:spacing w:after="70" w:before="0" w:line="270"/>
        <w:jc w:val="left"/>
      </w:pPr>
      <w:r>
        <w:rPr>
          <w:rFonts w:ascii="Arial" w:cs="Arial" w:eastAsia="Arial" w:hAnsi="Arial"/>
          <w:b w:val="false"/>
          <w:bCs w:val="false"/>
          <w:color w:val="232438"/>
          <w:sz w:val="20"/>
          <w:szCs w:val="20"/>
        </w:rPr>
        <w:t xml:space="preserve">Fabriquer, contrôler et remettre les kits au Partenaire avec un </w:t>
      </w:r>
      <w:r>
        <w:rPr>
          <w:rFonts w:ascii="Arial" w:cs="Arial" w:eastAsia="Arial" w:hAnsi="Arial"/>
          <w:b/>
          <w:bCs/>
          <w:color w:val="1B5B3F"/>
          <w:sz w:val="20"/>
          <w:szCs w:val="20"/>
        </w:rPr>
        <w:t xml:space="preserve">bon de remise</w:t>
      </w:r>
      <w:r>
        <w:rPr>
          <w:rFonts w:ascii="Arial" w:cs="Arial" w:eastAsia="Arial" w:hAnsi="Arial"/>
          <w:b w:val="false"/>
          <w:bCs w:val="false"/>
          <w:color w:val="232438"/>
          <w:sz w:val="20"/>
          <w:szCs w:val="20"/>
        </w:rPr>
        <w:t xml:space="preserve">. Fournir la notice et, sur demande, la preuve de contrôle du lot. Intégrer les quantités distribuées et le nombre de bénéficiaires au rapport d’impact mensuel, communiqué chaque trimestre destiné aux industriels, dans le respect de la présente convention.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380" w:hRule="atLeast"/>
        </w:trPr>
        <w:tc>
          <w:tcPr>
            <w:tcW w:type="dxa" w:w="10106"/>
            <w:tcBorders>
              <w:top w:val="none" w:color="FFFFFF" w:sz="0"/>
              <w:left w:val="none" w:color="FFFFFF" w:sz="0"/>
              <w:bottom w:val="none" w:color="FFFFFF" w:sz="0"/>
              <w:right w:val="none" w:color="FFFFFF" w:sz="0"/>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2"/>
                <w:szCs w:val="22"/>
              </w:rPr>
              <w:t xml:space="preserve">5  Traçabilité</w:t>
            </w:r>
          </w:p>
        </w:tc>
      </w:tr>
    </w:tbl>
    <w:p/>
    <w:p>
      <w:pPr>
        <w:spacing w:after="70" w:before="0" w:line="270"/>
        <w:jc w:val="left"/>
      </w:pPr>
      <w:r>
        <w:rPr>
          <w:rFonts w:ascii="Arial" w:cs="Arial" w:eastAsia="Arial" w:hAnsi="Arial"/>
          <w:b w:val="false"/>
          <w:bCs w:val="false"/>
          <w:color w:val="232438"/>
          <w:sz w:val="20"/>
          <w:szCs w:val="20"/>
        </w:rPr>
        <w:t xml:space="preserve">Chaque lot de kits est rattaché à un numéro de lot lié aux codes de suivi dont la matière est issue (UA-GR-01 à UA-GR-20). Le bon de remise reprend le numéro de lot, la date et la quantité.</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380" w:hRule="atLeast"/>
        </w:trPr>
        <w:tc>
          <w:tcPr>
            <w:tcW w:type="dxa" w:w="10106"/>
            <w:tcBorders>
              <w:top w:val="none" w:color="FFFFFF" w:sz="0"/>
              <w:left w:val="none" w:color="FFFFFF" w:sz="0"/>
              <w:bottom w:val="none" w:color="FFFFFF" w:sz="0"/>
              <w:right w:val="none" w:color="FFFFFF" w:sz="0"/>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2"/>
                <w:szCs w:val="22"/>
              </w:rPr>
              <w:t xml:space="preserve">6  Confidentialité et communication</w:t>
            </w:r>
          </w:p>
        </w:tc>
      </w:tr>
    </w:tbl>
    <w:p/>
    <w:p>
      <w:pPr>
        <w:spacing w:after="70" w:before="0" w:line="270"/>
        <w:jc w:val="left"/>
      </w:pPr>
      <w:r>
        <w:rPr>
          <w:rFonts w:ascii="Arial" w:cs="Arial" w:eastAsia="Arial" w:hAnsi="Arial"/>
          <w:b w:val="false"/>
          <w:bCs w:val="false"/>
          <w:color w:val="232438"/>
          <w:sz w:val="20"/>
          <w:szCs w:val="20"/>
        </w:rPr>
        <w:t xml:space="preserve">À la demande des industriels, leurs marquages, logos et noms sont détruits ; aucun industriel n’est nommé auprès des bénéficiaires sans son accord écrit. Chaque Partie peut citer l’autre et utiliser son nom ou son logo pour communiquer sur l’opération </w:t>
      </w:r>
      <w:r>
        <w:rPr>
          <w:rFonts w:ascii="Arial" w:cs="Arial" w:eastAsia="Arial" w:hAnsi="Arial"/>
          <w:b/>
          <w:bCs/>
          <w:color w:val="1B5B3F"/>
          <w:sz w:val="20"/>
          <w:szCs w:val="20"/>
        </w:rPr>
        <w:t xml:space="preserve">après accord écrit préalable</w:t>
      </w:r>
      <w:r>
        <w:rPr>
          <w:rFonts w:ascii="Arial" w:cs="Arial" w:eastAsia="Arial" w:hAnsi="Arial"/>
          <w:b w:val="false"/>
          <w:bCs w:val="false"/>
          <w:color w:val="232438"/>
          <w:sz w:val="20"/>
          <w:szCs w:val="20"/>
        </w:rPr>
        <w:t xml:space="preserve"> sur le support concerné.</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380" w:hRule="atLeast"/>
        </w:trPr>
        <w:tc>
          <w:tcPr>
            <w:tcW w:type="dxa" w:w="10106"/>
            <w:tcBorders>
              <w:top w:val="none" w:color="FFFFFF" w:sz="0"/>
              <w:left w:val="none" w:color="FFFFFF" w:sz="0"/>
              <w:bottom w:val="none" w:color="FFFFFF" w:sz="0"/>
              <w:right w:val="none" w:color="FFFFFF" w:sz="0"/>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2"/>
                <w:szCs w:val="22"/>
              </w:rPr>
              <w:t xml:space="preserve">7  Données personnelles</w:t>
            </w:r>
          </w:p>
        </w:tc>
      </w:tr>
    </w:tbl>
    <w:p/>
    <w:p>
      <w:pPr>
        <w:spacing w:after="70" w:before="0" w:line="270"/>
        <w:jc w:val="left"/>
      </w:pPr>
      <w:r>
        <w:rPr>
          <w:rFonts w:ascii="Arial" w:cs="Arial" w:eastAsia="Arial" w:hAnsi="Arial"/>
          <w:b w:val="false"/>
          <w:bCs w:val="false"/>
          <w:color w:val="232438"/>
          <w:sz w:val="20"/>
          <w:szCs w:val="20"/>
        </w:rPr>
        <w:t xml:space="preserve">Aucune donnée nominative sur les bénéficiaires n’est transmise à Upcycle Academy : seuls des volumes agrégés sont déclarés. Le Partenaire demeure responsable de ses propres traitements de données.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380" w:hRule="atLeast"/>
        </w:trPr>
        <w:tc>
          <w:tcPr>
            <w:tcW w:type="dxa" w:w="10106"/>
            <w:tcBorders>
              <w:top w:val="none" w:color="FFFFFF" w:sz="0"/>
              <w:left w:val="none" w:color="FFFFFF" w:sz="0"/>
              <w:bottom w:val="none" w:color="FFFFFF" w:sz="0"/>
              <w:right w:val="none" w:color="FFFFFF" w:sz="0"/>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2"/>
                <w:szCs w:val="22"/>
              </w:rPr>
              <w:t xml:space="preserve">8  Sécurité et responsabilité</w:t>
            </w:r>
          </w:p>
        </w:tc>
      </w:tr>
    </w:tbl>
    <w:p/>
    <w:p>
      <w:pPr>
        <w:spacing w:after="70" w:before="0" w:line="270"/>
        <w:jc w:val="left"/>
      </w:pPr>
      <w:r>
        <w:rPr>
          <w:rFonts w:ascii="Arial" w:cs="Arial" w:eastAsia="Arial" w:hAnsi="Arial"/>
          <w:b w:val="false"/>
          <w:bCs w:val="false"/>
          <w:color w:val="232438"/>
          <w:sz w:val="20"/>
          <w:szCs w:val="20"/>
        </w:rPr>
        <w:t xml:space="preserve">Le Partenaire informe sans délai Upcycle Academy de toute réclamation ou incident lié à un kit. Chaque Partie est assurée pour les activités qui la concernent : [références des contrats]. En cas de doute sur un lot, les kits concernés sont retirés de la distribution.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380" w:hRule="atLeast"/>
        </w:trPr>
        <w:tc>
          <w:tcPr>
            <w:tcW w:type="dxa" w:w="10106"/>
            <w:tcBorders>
              <w:top w:val="none" w:color="FFFFFF" w:sz="0"/>
              <w:left w:val="none" w:color="FFFFFF" w:sz="0"/>
              <w:bottom w:val="none" w:color="FFFFFF" w:sz="0"/>
              <w:right w:val="none" w:color="FFFFFF" w:sz="0"/>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2"/>
                <w:szCs w:val="22"/>
              </w:rPr>
              <w:t xml:space="preserve">9  Durée, évolution et résiliation</w:t>
            </w:r>
          </w:p>
        </w:tc>
      </w:tr>
    </w:tbl>
    <w:p/>
    <w:p>
      <w:pPr>
        <w:spacing w:after="70" w:before="0" w:line="270"/>
        <w:jc w:val="left"/>
      </w:pPr>
      <w:r>
        <w:rPr>
          <w:rFonts w:ascii="Arial" w:cs="Arial" w:eastAsia="Arial" w:hAnsi="Arial"/>
          <w:b w:val="false"/>
          <w:bCs w:val="false"/>
          <w:color w:val="232438"/>
          <w:sz w:val="20"/>
          <w:szCs w:val="20"/>
        </w:rPr>
        <w:t xml:space="preserve">La convention court du [date] au [date] et peut être prolongée par avenant. Chaque Partie peut y mettre fin par écrit avec un préavis de [x] jours. Elle est soumise au droit français ; tout litige relève du tribunal compétent de [ville].</w:t>
      </w:r>
    </w:p>
    <w:p>
      <w:pPr>
        <w:spacing w:after="0" w:before="0" w:line="16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Height w:val="420" w:hRule="atLeast"/>
        </w:trPr>
        <w:tc>
          <w:tcPr>
            <w:tcW w:type="dxa" w:w="5053"/>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Pour Upcycle Academy</w:t>
            </w:r>
          </w:p>
        </w:tc>
        <w:tc>
          <w:tcPr>
            <w:tcW w:type="dxa" w:w="5053"/>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Pour le Partenaire</w:t>
            </w:r>
          </w:p>
        </w:tc>
      </w:tr>
      <w:tr>
        <w:trPr>
          <w:cantSplit/>
          <w:trHeight w:val="1100" w:hRule="atLeast"/>
        </w:trPr>
        <w:tc>
          <w:tcPr>
            <w:tcW w:type="dxa" w:w="5053"/>
            <w:tcBorders>
              <w:top w:val="single" w:color="B9C7B9" w:sz="4"/>
              <w:left w:val="single" w:color="B9C7B9" w:sz="4"/>
              <w:bottom w:val="single" w:color="B9C7B9" w:sz="4"/>
              <w:right w:val="single" w:color="B9C7B9" w:sz="4"/>
            </w:tcBorders>
            <w:tcMar>
              <w:top w:type="dxa" w:w="80"/>
              <w:left w:type="dxa" w:w="120"/>
              <w:bottom w:type="dxa" w:w="80"/>
              <w:right w:type="dxa" w:w="120"/>
            </w:tcMar>
            <w:vAlign w:val="top"/>
          </w:tcPr>
          <w:p>
            <w:pPr>
              <w:spacing w:after="600" w:before="0"/>
              <w:jc w:val="left"/>
            </w:pPr>
            <w:r>
              <w:rPr>
                <w:rFonts w:ascii="Arial" w:cs="Arial" w:eastAsia="Arial" w:hAnsi="Arial"/>
                <w:i/>
                <w:iCs/>
                <w:color w:val="6C8545"/>
                <w:sz w:val="17"/>
                <w:szCs w:val="17"/>
              </w:rPr>
              <w:t xml:space="preserve">Nom, fonction, date, signature</w:t>
            </w:r>
          </w:p>
        </w:tc>
        <w:tc>
          <w:tcPr>
            <w:tcW w:type="dxa" w:w="5053"/>
            <w:tcBorders>
              <w:top w:val="single" w:color="B9C7B9" w:sz="4"/>
              <w:left w:val="single" w:color="B9C7B9" w:sz="4"/>
              <w:bottom w:val="single" w:color="B9C7B9" w:sz="4"/>
              <w:right w:val="single" w:color="B9C7B9" w:sz="4"/>
            </w:tcBorders>
            <w:tcMar>
              <w:top w:type="dxa" w:w="80"/>
              <w:left w:type="dxa" w:w="120"/>
              <w:bottom w:type="dxa" w:w="80"/>
              <w:right w:type="dxa" w:w="120"/>
            </w:tcMar>
            <w:vAlign w:val="top"/>
          </w:tcPr>
          <w:p>
            <w:pPr>
              <w:spacing w:after="600" w:before="0"/>
              <w:jc w:val="left"/>
            </w:pPr>
            <w:r>
              <w:rPr>
                <w:rFonts w:ascii="Arial" w:cs="Arial" w:eastAsia="Arial" w:hAnsi="Arial"/>
                <w:i/>
                <w:iCs/>
                <w:color w:val="6C8545"/>
                <w:sz w:val="17"/>
                <w:szCs w:val="17"/>
              </w:rPr>
              <w:t xml:space="preserve">Nom, fonction, date, signature</w:t>
            </w:r>
          </w:p>
        </w:tc>
      </w:tr>
    </w:tbl>
    <w:p>
      <w:pPr>
        <w:pageBreakBefore/>
        <w:spacing w:after="0" w:before="0" w:line="2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620"/>
        <w:gridCol w:w="9486"/>
      </w:tblGrid>
      <w:tr>
        <w:trPr>
          <w:cantSplit/>
          <w:trHeight w:val="480" w:hRule="atLeast"/>
        </w:trPr>
        <w:tc>
          <w:tcPr>
            <w:tcW w:type="dxa" w:w="620"/>
            <w:tcBorders>
              <w:top w:val="none" w:color="FFFFFF" w:sz="0"/>
              <w:left w:val="none" w:color="FFFFFF" w:sz="0"/>
              <w:bottom w:val="none" w:color="FFFFFF" w:sz="0"/>
              <w:right w:val="none" w:color="FFFFFF" w:sz="0"/>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30"/>
                <w:szCs w:val="30"/>
              </w:rPr>
              <w:t xml:space="preserve">A</w:t>
            </w:r>
          </w:p>
        </w:tc>
        <w:tc>
          <w:tcPr>
            <w:tcW w:type="dxa" w:w="9486"/>
            <w:tcBorders>
              <w:top w:val="none" w:color="FFFFFF" w:sz="0"/>
              <w:left w:val="none" w:color="FFFFFF" w:sz="0"/>
              <w:bottom w:val="none" w:color="FFFFFF" w:sz="0"/>
              <w:right w:val="none" w:color="FFFFFF" w:sz="0"/>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6"/>
                <w:szCs w:val="26"/>
              </w:rPr>
              <w:t xml:space="preserve">Annexe A : bon de remise des kits (modèle)</w:t>
            </w:r>
          </w:p>
        </w:tc>
      </w:tr>
    </w:tbl>
    <w:p>
      <w:pPr>
        <w:spacing w:after="0" w:before="0" w:line="8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700"/>
        <w:gridCol w:w="1700"/>
        <w:gridCol w:w="2100"/>
        <w:gridCol w:w="1500"/>
        <w:gridCol w:w="1500"/>
        <w:gridCol w:w="1606"/>
      </w:tblGrid>
      <w:tr>
        <w:trPr>
          <w:cantSplit/>
          <w:trHeight w:val="460" w:hRule="atLeast"/>
        </w:trPr>
        <w:tc>
          <w:tcPr>
            <w:tcW w:type="dxa" w:w="1700"/>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Date</w:t>
            </w:r>
          </w:p>
        </w:tc>
        <w:tc>
          <w:tcPr>
            <w:tcW w:type="dxa" w:w="1700"/>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N° de lot</w:t>
            </w:r>
          </w:p>
        </w:tc>
        <w:tc>
          <w:tcPr>
            <w:tcW w:type="dxa" w:w="2100"/>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Nature des kits</w:t>
            </w:r>
          </w:p>
        </w:tc>
        <w:tc>
          <w:tcPr>
            <w:tcW w:type="dxa" w:w="1500"/>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Quantité</w:t>
            </w:r>
          </w:p>
        </w:tc>
        <w:tc>
          <w:tcPr>
            <w:tcW w:type="dxa" w:w="1500"/>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Lieu de remise</w:t>
            </w:r>
          </w:p>
        </w:tc>
        <w:tc>
          <w:tcPr>
            <w:tcW w:type="dxa" w:w="1606"/>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Signature Partenaire</w:t>
            </w:r>
          </w:p>
        </w:tc>
      </w:tr>
      <w:tr>
        <w:trPr>
          <w:cantSplit/>
          <w:trHeight w:val="480" w:hRule="atLeast"/>
        </w:trPr>
        <w:tc>
          <w:tcPr>
            <w:tcW w:type="dxa" w:w="17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7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21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5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5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6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r>
      <w:tr>
        <w:trPr>
          <w:cantSplit/>
          <w:trHeight w:val="480" w:hRule="atLeast"/>
        </w:trPr>
        <w:tc>
          <w:tcPr>
            <w:tcW w:type="dxa" w:w="17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7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21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5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5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6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r>
      <w:tr>
        <w:trPr>
          <w:cantSplit/>
          <w:trHeight w:val="480" w:hRule="atLeast"/>
        </w:trPr>
        <w:tc>
          <w:tcPr>
            <w:tcW w:type="dxa" w:w="17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7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21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5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5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6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r>
      <w:tr>
        <w:trPr>
          <w:cantSplit/>
          <w:trHeight w:val="480" w:hRule="atLeast"/>
        </w:trPr>
        <w:tc>
          <w:tcPr>
            <w:tcW w:type="dxa" w:w="17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7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21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5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5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6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r>
      <w:tr>
        <w:trPr>
          <w:cantSplit/>
          <w:trHeight w:val="480" w:hRule="atLeast"/>
        </w:trPr>
        <w:tc>
          <w:tcPr>
            <w:tcW w:type="dxa" w:w="17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7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21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5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500"/>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c>
          <w:tcPr>
            <w:tcW w:type="dxa" w:w="1606"/>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r>
    </w:tbl>
    <w:p>
      <w:pPr>
        <w:spacing w:after="0" w:before="0" w:line="24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620"/>
        <w:gridCol w:w="9486"/>
      </w:tblGrid>
      <w:tr>
        <w:trPr>
          <w:cantSplit/>
          <w:trHeight w:val="480" w:hRule="atLeast"/>
        </w:trPr>
        <w:tc>
          <w:tcPr>
            <w:tcW w:type="dxa" w:w="620"/>
            <w:tcBorders>
              <w:top w:val="none" w:color="FFFFFF" w:sz="0"/>
              <w:left w:val="none" w:color="FFFFFF" w:sz="0"/>
              <w:bottom w:val="none" w:color="FFFFFF" w:sz="0"/>
              <w:right w:val="none" w:color="FFFFFF" w:sz="0"/>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30"/>
                <w:szCs w:val="30"/>
              </w:rPr>
              <w:t xml:space="preserve">B</w:t>
            </w:r>
          </w:p>
        </w:tc>
        <w:tc>
          <w:tcPr>
            <w:tcW w:type="dxa" w:w="9486"/>
            <w:tcBorders>
              <w:top w:val="none" w:color="FFFFFF" w:sz="0"/>
              <w:left w:val="none" w:color="FFFFFF" w:sz="0"/>
              <w:bottom w:val="none" w:color="FFFFFF" w:sz="0"/>
              <w:right w:val="none" w:color="FFFFFF" w:sz="0"/>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6"/>
                <w:szCs w:val="26"/>
              </w:rPr>
              <w:t xml:space="preserve">Annexe B : déclaration trimestrielle du Partenaire (modèle)</w:t>
            </w:r>
          </w:p>
        </w:tc>
      </w:tr>
    </w:tbl>
    <w:p>
      <w:pPr>
        <w:spacing w:after="0" w:before="0" w:line="80" w:lineRule="exact"/>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Height w:val="460" w:hRule="atLeast"/>
        </w:trPr>
        <w:tc>
          <w:tcPr>
            <w:tcW w:type="dxa" w:w="5053"/>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Indicateur</w:t>
            </w:r>
          </w:p>
        </w:tc>
        <w:tc>
          <w:tcPr>
            <w:tcW w:type="dxa" w:w="5053"/>
            <w:tcBorders>
              <w:top w:val="single" w:color="B9C7B9" w:sz="4"/>
              <w:left w:val="single" w:color="B9C7B9" w:sz="4"/>
              <w:bottom w:val="single" w:color="B9C7B9" w:sz="4"/>
              <w:right w:val="single" w:color="B9C7B9" w:sz="4"/>
            </w:tcBorders>
            <w:shd w:fill="1B5B3F" w:color="auto" w:val="clear"/>
            <w:tcMar>
              <w:top w:type="dxa" w:w="80"/>
              <w:left w:type="dxa" w:w="120"/>
              <w:bottom w:type="dxa" w:w="80"/>
              <w:right w:type="dxa" w:w="120"/>
            </w:tcMar>
            <w:vAlign w:val="center"/>
          </w:tcPr>
          <w:p>
            <w:pPr>
              <w:spacing w:after="0" w:before="0"/>
              <w:jc w:val="center"/>
            </w:pPr>
            <w:r>
              <w:rPr>
                <w:rFonts w:ascii="Arial" w:cs="Arial" w:eastAsia="Arial" w:hAnsi="Arial"/>
                <w:b/>
                <w:bCs/>
                <w:color w:val="E8F55A"/>
                <w:sz w:val="20"/>
                <w:szCs w:val="20"/>
              </w:rPr>
              <w:t xml:space="preserve">Valeur</w:t>
            </w:r>
          </w:p>
        </w:tc>
      </w:tr>
      <w:tr>
        <w:trPr>
          <w:cantSplit/>
          <w:trHeight w:val="480" w:hRule="atLeast"/>
        </w:trPr>
        <w:tc>
          <w:tcPr>
            <w:tcW w:type="dxa" w:w="5053"/>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Période (du … au …)</w:t>
            </w:r>
          </w:p>
        </w:tc>
        <w:tc>
          <w:tcPr>
            <w:tcW w:type="dxa" w:w="5053"/>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r>
      <w:tr>
        <w:trPr>
          <w:cantSplit/>
          <w:trHeight w:val="480" w:hRule="atLeast"/>
        </w:trPr>
        <w:tc>
          <w:tcPr>
            <w:tcW w:type="dxa" w:w="5053"/>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Kits remis aux bénéficiaires</w:t>
            </w:r>
          </w:p>
        </w:tc>
        <w:tc>
          <w:tcPr>
            <w:tcW w:type="dxa" w:w="5053"/>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r>
      <w:tr>
        <w:trPr>
          <w:cantSplit/>
          <w:trHeight w:val="480" w:hRule="atLeast"/>
        </w:trPr>
        <w:tc>
          <w:tcPr>
            <w:tcW w:type="dxa" w:w="5053"/>
            <w:tcBorders>
              <w:top w:val="single" w:color="B9C7B9" w:sz="4"/>
              <w:left w:val="single" w:color="B9C7B9" w:sz="4"/>
              <w:bottom w:val="single" w:color="B9C7B9" w:sz="4"/>
              <w:right w:val="single" w:color="B9C7B9" w:sz="4"/>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Nombre de bénéficiaires estimé</w:t>
            </w:r>
          </w:p>
        </w:tc>
        <w:tc>
          <w:tcPr>
            <w:tcW w:type="dxa" w:w="5053"/>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r>
      <w:tr>
        <w:trPr>
          <w:cantSplit/>
          <w:trHeight w:val="480" w:hRule="atLeast"/>
        </w:trPr>
        <w:tc>
          <w:tcPr>
            <w:tcW w:type="dxa" w:w="5053"/>
            <w:tcBorders>
              <w:top w:val="single" w:color="B9C7B9" w:sz="4"/>
              <w:left w:val="single" w:color="B9C7B9" w:sz="4"/>
              <w:bottom w:val="single" w:color="B9C7B9" w:sz="4"/>
              <w:right w:val="single" w:color="B9C7B9" w:sz="4"/>
            </w:tcBorders>
            <w:shd w:fill="E2F2E1"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Public (locataires, clients, enfants, autres)</w:t>
            </w:r>
          </w:p>
        </w:tc>
        <w:tc>
          <w:tcPr>
            <w:tcW w:type="dxa" w:w="5053"/>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r>
      <w:tr>
        <w:trPr>
          <w:cantSplit/>
          <w:trHeight w:val="480" w:hRule="atLeast"/>
        </w:trPr>
        <w:tc>
          <w:tcPr>
            <w:tcW w:type="dxa" w:w="5053"/>
            <w:tcBorders>
              <w:top w:val="single" w:color="B9C7B9" w:sz="4"/>
              <w:left w:val="single" w:color="B9C7B9" w:sz="4"/>
              <w:bottom w:val="single" w:color="B9C7B9" w:sz="4"/>
              <w:right w:val="single" w:color="B9C7B9" w:sz="4"/>
            </w:tcBorders>
            <w:shd w:fill="FCF8C4"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Canal ou lieu de distribution</w:t>
            </w:r>
          </w:p>
        </w:tc>
        <w:tc>
          <w:tcPr>
            <w:tcW w:type="dxa" w:w="5053"/>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r>
      <w:tr>
        <w:trPr>
          <w:cantSplit/>
          <w:trHeight w:val="480" w:hRule="atLeast"/>
        </w:trPr>
        <w:tc>
          <w:tcPr>
            <w:tcW w:type="dxa" w:w="5053"/>
            <w:tcBorders>
              <w:top w:val="single" w:color="B9C7B9" w:sz="4"/>
              <w:left w:val="single" w:color="B9C7B9" w:sz="4"/>
              <w:bottom w:val="single" w:color="B9C7B9" w:sz="4"/>
              <w:right w:val="single" w:color="B9C7B9" w:sz="4"/>
            </w:tcBorders>
            <w:shd w:fill="E3F1FA" w:color="auto" w:val="clear"/>
            <w:tcMar>
              <w:top w:type="dxa" w:w="80"/>
              <w:left w:type="dxa" w:w="120"/>
              <w:bottom w:type="dxa" w:w="80"/>
              <w:right w:type="dxa" w:w="120"/>
            </w:tcMar>
            <w:vAlign w:val="center"/>
          </w:tcPr>
          <w:p>
            <w:pPr>
              <w:spacing w:after="0" w:before="0"/>
              <w:jc w:val="left"/>
            </w:pPr>
            <w:r>
              <w:rPr>
                <w:rFonts w:ascii="Arial" w:cs="Arial" w:eastAsia="Arial" w:hAnsi="Arial"/>
                <w:b/>
                <w:bCs/>
                <w:color w:val="1B5B3F"/>
                <w:sz w:val="20"/>
                <w:szCs w:val="20"/>
              </w:rPr>
              <w:t xml:space="preserve">Observations, retours, incidents</w:t>
            </w:r>
          </w:p>
        </w:tc>
        <w:tc>
          <w:tcPr>
            <w:tcW w:type="dxa" w:w="5053"/>
            <w:tcBorders>
              <w:top w:val="single" w:color="B9C7B9" w:sz="4"/>
              <w:left w:val="single" w:color="B9C7B9" w:sz="4"/>
              <w:bottom w:val="single" w:color="B9C7B9" w:sz="4"/>
              <w:right w:val="single" w:color="B9C7B9" w:sz="4"/>
            </w:tcBorders>
            <w:tcMar>
              <w:top w:type="dxa" w:w="80"/>
              <w:left w:type="dxa" w:w="120"/>
              <w:bottom w:type="dxa" w:w="80"/>
              <w:right w:type="dxa" w:w="120"/>
            </w:tcMar>
            <w:vAlign w:val="center"/>
          </w:tcPr>
          <w:p>
            <w:pPr>
              <w:spacing w:after="0" w:before="0"/>
              <w:jc w:val="left"/>
            </w:pPr>
            <w:r>
              <w:rPr>
                <w:rFonts w:ascii="Arial" w:cs="Arial" w:eastAsia="Arial" w:hAnsi="Arial"/>
                <w:color w:val="232438"/>
                <w:sz w:val="20"/>
                <w:szCs w:val="20"/>
              </w:rPr>
              <w:t xml:space="preserve"/>
            </w:r>
          </w:p>
        </w:tc>
      </w:tr>
    </w:tbl>
    <w:sectPr>
      <w:headerReference w:type="default" r:id="rId7"/>
      <w:headerReference w:type="first" r:id="rId8"/>
      <w:footerReference w:type="default" r:id="rId9"/>
      <w:footerReference w:type="first" r:id="rId10"/>
      <w:pgSz w:w="11906" w:h="16838" w:orient="portrait"/>
      <w:pgMar w:top="800" w:right="900" w:bottom="900" w:left="900" w:header="40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C8545" w:sz="6" w:space="4"/>
      </w:pBdr>
      <w:tabs>
        <w:tab w:val="right" w:pos="10106"/>
      </w:tabs>
    </w:pPr>
    <w:r>
      <w:rPr>
        <w:rFonts w:ascii="Arial" w:cs="Arial" w:eastAsia="Arial" w:hAnsi="Arial"/>
        <w:color w:val="6C8545"/>
        <w:sz w:val="16"/>
        <w:szCs w:val="16"/>
      </w:rPr>
      <w:t xml:space="preserve">Upcycle Academy  ·  862 route de Saint-Laurent-du-Var, ZA Les Nertières, 06610 La Gaude</w:t>
    </w:r>
    <w:r>
      <w:rPr>
        <w:rFonts w:ascii="Arial" w:cs="Arial" w:eastAsia="Arial" w:hAnsi="Arial"/>
        <w:color w:val="6C8545"/>
        <w:sz w:val="16"/>
        <w:szCs w:val="16"/>
      </w:rPr>
      <w:t xml:space="preserve">	Page </w:t>
    </w:r>
    <w:r>
      <w:rPr>
        <w:rFonts w:ascii="Arial" w:cs="Arial" w:eastAsia="Arial" w:hAnsi="Arial"/>
        <w:color w:val="6C8545"/>
        <w:sz w:val="16"/>
        <w:szCs w:val="16"/>
      </w:rPr>
      <w:fldChar w:fldCharType="begin"/>
      <w:instrText xml:space="preserve">PAGE</w:instrText>
      <w:fldChar w:fldCharType="separate"/>
      <w:fldChar w:fldCharType="end"/>
    </w:r>
    <w:r>
      <w:rPr>
        <w:rFonts w:ascii="Arial" w:cs="Arial" w:eastAsia="Arial" w:hAnsi="Arial"/>
        <w:color w:val="6C8545"/>
        <w:sz w:val="16"/>
        <w:szCs w:val="16"/>
      </w:rPr>
      <w:t xml:space="preserve"> / </w:t>
    </w:r>
    <w:r>
      <w:rPr>
        <w:rFonts w:ascii="Arial" w:cs="Arial" w:eastAsia="Arial" w:hAnsi="Arial"/>
        <w:color w:val="6C8545"/>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C8545" w:sz="6" w:space="4"/>
      </w:pBdr>
      <w:tabs>
        <w:tab w:val="right" w:pos="10106"/>
      </w:tabs>
    </w:pPr>
    <w:r>
      <w:rPr>
        <w:rFonts w:ascii="Arial" w:cs="Arial" w:eastAsia="Arial" w:hAnsi="Arial"/>
        <w:color w:val="6C8545"/>
        <w:sz w:val="16"/>
        <w:szCs w:val="16"/>
      </w:rPr>
      <w:t xml:space="preserve">Upcycle Academy  ·  862 route de Saint-Laurent-du-Var, ZA Les Nertières, 06610 La Gaude</w:t>
    </w:r>
    <w:r>
      <w:rPr>
        <w:rFonts w:ascii="Arial" w:cs="Arial" w:eastAsia="Arial" w:hAnsi="Arial"/>
        <w:color w:val="6C8545"/>
        <w:sz w:val="16"/>
        <w:szCs w:val="16"/>
      </w:rPr>
      <w:t xml:space="preserve">	Page </w:t>
    </w:r>
    <w:r>
      <w:rPr>
        <w:rFonts w:ascii="Arial" w:cs="Arial" w:eastAsia="Arial" w:hAnsi="Arial"/>
        <w:color w:val="6C8545"/>
        <w:sz w:val="16"/>
        <w:szCs w:val="16"/>
      </w:rPr>
      <w:fldChar w:fldCharType="begin"/>
      <w:instrText xml:space="preserve">PAGE</w:instrText>
      <w:fldChar w:fldCharType="separate"/>
      <w:fldChar w:fldCharType="end"/>
    </w:r>
    <w:r>
      <w:rPr>
        <w:rFonts w:ascii="Arial" w:cs="Arial" w:eastAsia="Arial" w:hAnsi="Arial"/>
        <w:color w:val="6C8545"/>
        <w:sz w:val="16"/>
        <w:szCs w:val="16"/>
      </w:rPr>
      <w:t xml:space="preserve"> / </w:t>
    </w:r>
    <w:r>
      <w:rPr>
        <w:rFonts w:ascii="Arial" w:cs="Arial" w:eastAsia="Arial" w:hAnsi="Arial"/>
        <w:color w:val="6C854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F55A" w:sz="6" w:space="4"/>
      </w:pBdr>
      <w:jc w:val="right"/>
    </w:pPr>
    <w:r>
      <w:rPr>
        <w:rFonts w:ascii="Arial" w:cs="Arial" w:eastAsia="Arial" w:hAnsi="Arial"/>
        <w:b/>
        <w:bCs/>
        <w:color w:val="1B5B3F"/>
        <w:sz w:val="16"/>
        <w:szCs w:val="16"/>
      </w:rPr>
      <w:t xml:space="preserve">CONVENTION DE DISTRIBUTION  ·  Modèle indicatif</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00"/>
      </w:pPr>
      <w:rPr>
        <w:color w:val="6C8545"/>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a24bd50775e6bd4210dcd9e21779be7d7513439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DISTRIBUTION  ·  Modèle indicatif</dc:title>
  <dc:creator>Upcycle Academy</dc:creator>
  <cp:lastModifiedBy>Un-named</cp:lastModifiedBy>
  <cp:revision>1</cp:revision>
  <dcterms:created xsi:type="dcterms:W3CDTF">2026-10-19T21:42:35.603Z</dcterms:created>
  <dcterms:modified xsi:type="dcterms:W3CDTF">2026-10-19T21:42:35.604Z</dcterms:modified>
</cp:coreProperties>
</file>

<file path=docProps/custom.xml><?xml version="1.0" encoding="utf-8"?>
<Properties xmlns="http://schemas.openxmlformats.org/officeDocument/2006/custom-properties" xmlns:vt="http://schemas.openxmlformats.org/officeDocument/2006/docPropsVTypes"/>
</file>