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8406"/>
      </w:tblGrid>
      <w:tr>
        <w:trPr>
          <w:cantSplit/>
          <w:trHeight w:val="1500" w:hRule="atLeast"/>
        </w:trPr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914400" cy="914400"/>
                  <wp:effectExtent t="0" r="0" b="0" l="0"/>
                  <wp:docPr id="1" name="logo" descr="Logo Upcycle Academy" title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5B3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E8F55A"/>
                <w:sz w:val="44"/>
                <w:szCs w:val="44"/>
              </w:rPr>
              <w:t xml:space="preserve">RAPPORT D’IMPACT : SYNTHÈSE TRIMESTRIELLE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F6EDC8"/>
                <w:sz w:val="23"/>
                <w:szCs w:val="23"/>
              </w:rPr>
              <w:t xml:space="preserve">Collecte et valorisation des EPI jetables  ·  Collectif des industriels de Grasse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BFD8BF"/>
                <w:sz w:val="18"/>
                <w:szCs w:val="18"/>
              </w:rPr>
              <w:t xml:space="preserve">Édité chaque mois, communiqué chaque trimestre  ·  Période : 12 semaines  ·  Maquette  ·  Outil de suivi fondé sur les indicateurs ADEME, ventilé par site</w:t>
            </w:r>
          </w:p>
        </w:tc>
      </w:tr>
    </w:tbl>
    <w:p>
      <w:pPr>
        <w:spacing w:after="0" w:before="0" w:line="100" w:lineRule="exact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38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C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7A4B00"/>
                <w:sz w:val="20"/>
                <w:szCs w:val="20"/>
              </w:rPr>
              <w:t xml:space="preserve">EXEMPLE : toutes les données de ce rapport sont fictives</w:t>
            </w:r>
          </w:p>
        </w:tc>
      </w:tr>
    </w:tbl>
    <w:p>
      <w:pPr>
        <w:spacing w:after="0" w:before="0" w:line="140" w:lineRule="exact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26"/>
        <w:gridCol w:w="2526"/>
        <w:gridCol w:w="2526"/>
        <w:gridCol w:w="2528"/>
      </w:tblGrid>
      <w:tr>
        <w:trPr>
          <w:cantSplit/>
          <w:trHeight w:val="950" w:hRule="atLeast"/>
        </w:trPr>
        <w:tc>
          <w:tcPr>
            <w:tcW w:type="dxa" w:w="2526"/>
            <w:tcBorders>
              <w:top w:val="none" w:color="FFFFFF" w:sz="0"/>
              <w:left w:val="single" w:color="FFFFFF" w:sz="24"/>
              <w:bottom w:val="none" w:color="FFFFFF" w:sz="0"/>
              <w:right w:val="single" w:color="FFFFFF" w:sz="24"/>
            </w:tcBorders>
            <w:shd w:fill="E2F2E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5B3F"/>
                <w:sz w:val="34"/>
                <w:szCs w:val="34"/>
              </w:rPr>
              <w:t xml:space="preserve">1 153 kg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6C8545"/>
                <w:sz w:val="18"/>
                <w:szCs w:val="18"/>
              </w:rPr>
              <w:t xml:space="preserve">poids collecté</w:t>
            </w:r>
          </w:p>
        </w:tc>
        <w:tc>
          <w:tcPr>
            <w:tcW w:type="dxa" w:w="2526"/>
            <w:tcBorders>
              <w:top w:val="none" w:color="FFFFFF" w:sz="0"/>
              <w:left w:val="single" w:color="FFFFFF" w:sz="24"/>
              <w:bottom w:val="none" w:color="FFFFFF" w:sz="0"/>
              <w:right w:val="single" w:color="FFFFFF" w:sz="24"/>
            </w:tcBorders>
            <w:shd w:fill="FCF8C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5B3F"/>
                <w:sz w:val="34"/>
                <w:szCs w:val="34"/>
              </w:rPr>
              <w:t xml:space="preserve">99 %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6C8545"/>
                <w:sz w:val="18"/>
                <w:szCs w:val="18"/>
              </w:rPr>
              <w:t xml:space="preserve">recyclage matière</w:t>
            </w:r>
          </w:p>
        </w:tc>
        <w:tc>
          <w:tcPr>
            <w:tcW w:type="dxa" w:w="2526"/>
            <w:tcBorders>
              <w:top w:val="none" w:color="FFFFFF" w:sz="0"/>
              <w:left w:val="single" w:color="FFFFFF" w:sz="24"/>
              <w:bottom w:val="none" w:color="FFFFFF" w:sz="0"/>
              <w:right w:val="single" w:color="FFFFFF" w:sz="24"/>
            </w:tcBorders>
            <w:shd w:fill="E3F1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5B3F"/>
                <w:sz w:val="34"/>
                <w:szCs w:val="34"/>
              </w:rPr>
              <w:t xml:space="preserve">2 920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6C8545"/>
                <w:sz w:val="18"/>
                <w:szCs w:val="18"/>
              </w:rPr>
              <w:t xml:space="preserve">objets réalisés</w:t>
            </w:r>
          </w:p>
        </w:tc>
        <w:tc>
          <w:tcPr>
            <w:tcW w:type="dxa" w:w="2528"/>
            <w:tcBorders>
              <w:top w:val="none" w:color="FFFFFF" w:sz="0"/>
              <w:left w:val="single" w:color="FFFFFF" w:sz="24"/>
              <w:bottom w:val="none" w:color="FFFFFF" w:sz="0"/>
              <w:right w:val="single" w:color="FFFFFF" w:sz="24"/>
            </w:tcBorders>
            <w:shd w:fill="F0F9B5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5B3F"/>
                <w:sz w:val="34"/>
                <w:szCs w:val="34"/>
              </w:rPr>
              <w:t xml:space="preserve">780 h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6C8545"/>
                <w:sz w:val="18"/>
                <w:szCs w:val="18"/>
              </w:rPr>
              <w:t xml:space="preserve">travail inclusif</w:t>
            </w:r>
          </w:p>
        </w:tc>
      </w:tr>
    </w:tbl>
    <w:p>
      <w:pPr>
        <w:spacing w:after="0" w:before="0" w:line="80" w:lineRule="exact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26"/>
        <w:gridCol w:w="2526"/>
        <w:gridCol w:w="2526"/>
        <w:gridCol w:w="2528"/>
      </w:tblGrid>
      <w:tr>
        <w:trPr>
          <w:cantSplit/>
          <w:trHeight w:val="950" w:hRule="atLeast"/>
        </w:trPr>
        <w:tc>
          <w:tcPr>
            <w:tcW w:type="dxa" w:w="2526"/>
            <w:tcBorders>
              <w:top w:val="none" w:color="FFFFFF" w:sz="0"/>
              <w:left w:val="single" w:color="FFFFFF" w:sz="24"/>
              <w:bottom w:val="none" w:color="FFFFFF" w:sz="0"/>
              <w:right w:val="single" w:color="FFFFFF" w:sz="24"/>
            </w:tcBorders>
            <w:shd w:fill="E3F1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5B3F"/>
                <w:sz w:val="34"/>
                <w:szCs w:val="34"/>
              </w:rPr>
              <w:t xml:space="preserve">30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6C8545"/>
                <w:sz w:val="18"/>
                <w:szCs w:val="18"/>
              </w:rPr>
              <w:t xml:space="preserve">collectes réalisées</w:t>
            </w:r>
          </w:p>
        </w:tc>
        <w:tc>
          <w:tcPr>
            <w:tcW w:type="dxa" w:w="2526"/>
            <w:tcBorders>
              <w:top w:val="none" w:color="FFFFFF" w:sz="0"/>
              <w:left w:val="single" w:color="FFFFFF" w:sz="24"/>
              <w:bottom w:val="none" w:color="FFFFFF" w:sz="0"/>
              <w:right w:val="single" w:color="FFFFFF" w:sz="24"/>
            </w:tcBorders>
            <w:shd w:fill="E2F2E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5B3F"/>
                <w:sz w:val="34"/>
                <w:szCs w:val="34"/>
              </w:rPr>
              <w:t xml:space="preserve">74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6C8545"/>
                <w:sz w:val="18"/>
                <w:szCs w:val="18"/>
              </w:rPr>
              <w:t xml:space="preserve">chariots collectés</w:t>
            </w:r>
          </w:p>
        </w:tc>
        <w:tc>
          <w:tcPr>
            <w:tcW w:type="dxa" w:w="2526"/>
            <w:tcBorders>
              <w:top w:val="none" w:color="FFFFFF" w:sz="0"/>
              <w:left w:val="single" w:color="FFFFFF" w:sz="24"/>
              <w:bottom w:val="none" w:color="FFFFFF" w:sz="0"/>
              <w:right w:val="single" w:color="FFFFFF" w:sz="24"/>
            </w:tcBorders>
            <w:shd w:fill="FCF8C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5B3F"/>
                <w:sz w:val="34"/>
                <w:szCs w:val="34"/>
              </w:rPr>
              <w:t xml:space="preserve">2 400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6C8545"/>
                <w:sz w:val="18"/>
                <w:szCs w:val="18"/>
              </w:rPr>
              <w:t xml:space="preserve">objets distribués</w:t>
            </w:r>
          </w:p>
        </w:tc>
        <w:tc>
          <w:tcPr>
            <w:tcW w:type="dxa" w:w="2528"/>
            <w:tcBorders>
              <w:top w:val="none" w:color="FFFFFF" w:sz="0"/>
              <w:left w:val="single" w:color="FFFFFF" w:sz="24"/>
              <w:bottom w:val="none" w:color="FFFFFF" w:sz="0"/>
              <w:right w:val="single" w:color="FFFFFF" w:sz="24"/>
            </w:tcBorders>
            <w:shd w:fill="F0F9B5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5B3F"/>
                <w:sz w:val="34"/>
                <w:szCs w:val="34"/>
              </w:rPr>
              <w:t xml:space="preserve">640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6C8545"/>
                <w:sz w:val="18"/>
                <w:szCs w:val="18"/>
              </w:rPr>
              <w:t xml:space="preserve">bénéficiaires</w:t>
            </w:r>
          </w:p>
        </w:tc>
      </w:tr>
    </w:tbl>
    <w:p>
      <w:pPr>
        <w:spacing w:after="0" w:before="0" w:line="200" w:lineRule="exact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"/>
        <w:gridCol w:w="9486"/>
      </w:tblGrid>
      <w:tr>
        <w:trPr>
          <w:cantSplit/>
          <w:trHeight w:val="480" w:hRule="atLeast"/>
        </w:trPr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5B3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30"/>
                <w:szCs w:val="30"/>
              </w:rPr>
              <w:t xml:space="preserve">1</w:t>
            </w:r>
          </w:p>
        </w:tc>
        <w:tc>
          <w:tcPr>
            <w:tcW w:type="dxa" w:w="9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2F2E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6"/>
                <w:szCs w:val="26"/>
              </w:rPr>
              <w:t xml:space="preserve">Collectes et pesée par catégorie</w:t>
            </w:r>
          </w:p>
        </w:tc>
      </w:tr>
    </w:tbl>
    <w:p>
      <w:pPr>
        <w:spacing w:after="0" w:before="0" w:line="80" w:lineRule="exact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1500"/>
        <w:gridCol w:w="1500"/>
        <w:gridCol w:w="4406"/>
      </w:tblGrid>
      <w:tr>
        <w:trPr>
          <w:cantSplit/>
          <w:trHeight w:val="460" w:hRule="atLeast"/>
        </w:trPr>
        <w:tc>
          <w:tcPr>
            <w:tcW w:type="dxa" w:w="27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Catégorie d’EPI</w:t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Unités</w:t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Poids (kg)</w:t>
            </w:r>
          </w:p>
        </w:tc>
        <w:tc>
          <w:tcPr>
            <w:tcW w:type="dxa" w:w="44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Orientation</w:t>
            </w:r>
          </w:p>
        </w:tc>
      </w:tr>
      <w:tr>
        <w:trPr>
          <w:cantSplit/>
          <w:trHeight w:val="400" w:hRule="atLeast"/>
        </w:trPr>
        <w:tc>
          <w:tcPr>
            <w:tcW w:type="dxa" w:w="27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2F2E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Charlottes</w:t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22 000</w:t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220,0</w:t>
            </w:r>
          </w:p>
        </w:tc>
        <w:tc>
          <w:tcPr>
            <w:tcW w:type="dxa" w:w="44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Recyclage matière : kits de géométrie, fournitures scolaires</w:t>
            </w:r>
          </w:p>
        </w:tc>
      </w:tr>
      <w:tr>
        <w:trPr>
          <w:cantSplit/>
          <w:trHeight w:val="400" w:hRule="atLeast"/>
        </w:trPr>
        <w:tc>
          <w:tcPr>
            <w:tcW w:type="dxa" w:w="27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CF8C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Cache-barbes</w:t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9 000</w:t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108,0</w:t>
            </w:r>
          </w:p>
        </w:tc>
        <w:tc>
          <w:tcPr>
            <w:tcW w:type="dxa" w:w="44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Recyclage matière : kits de géométrie, fournitures scolaires</w:t>
            </w:r>
          </w:p>
        </w:tc>
      </w:tr>
      <w:tr>
        <w:trPr>
          <w:cantSplit/>
          <w:trHeight w:val="400" w:hRule="atLeast"/>
        </w:trPr>
        <w:tc>
          <w:tcPr>
            <w:tcW w:type="dxa" w:w="27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3F1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Blouses</w:t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6 500</w:t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455,0</w:t>
            </w:r>
          </w:p>
        </w:tc>
        <w:tc>
          <w:tcPr>
            <w:tcW w:type="dxa" w:w="44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Tote-bags, sacs bourse, trousses, kits à lacer</w:t>
            </w:r>
          </w:p>
        </w:tc>
      </w:tr>
      <w:tr>
        <w:trPr>
          <w:cantSplit/>
          <w:trHeight w:val="400" w:hRule="atLeast"/>
        </w:trPr>
        <w:tc>
          <w:tcPr>
            <w:tcW w:type="dxa" w:w="27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2F2E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Couvre-chaussures</w:t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9 500</w:t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285,0</w:t>
            </w:r>
          </w:p>
        </w:tc>
        <w:tc>
          <w:tcPr>
            <w:tcW w:type="dxa" w:w="44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Recyclage matière : kits de géométrie, fournitures scolaires</w:t>
            </w:r>
          </w:p>
        </w:tc>
      </w:tr>
      <w:tr>
        <w:trPr>
          <w:cantSplit/>
          <w:trHeight w:val="400" w:hRule="atLeast"/>
        </w:trPr>
        <w:tc>
          <w:tcPr>
            <w:tcW w:type="dxa" w:w="27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CF8C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Masques</w:t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17 000</w:t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85,0</w:t>
            </w:r>
          </w:p>
        </w:tc>
        <w:tc>
          <w:tcPr>
            <w:tcW w:type="dxa" w:w="44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Recyclage matière : kits de géométrie, fournitures scolaires</w:t>
            </w:r>
          </w:p>
        </w:tc>
      </w:tr>
      <w:tr>
        <w:trPr>
          <w:cantSplit/>
          <w:trHeight w:val="400" w:hRule="atLeast"/>
        </w:trPr>
        <w:tc>
          <w:tcPr>
            <w:tcW w:type="dxa" w:w="27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3F1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Autres</w:t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0</w:t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0,0</w:t>
            </w:r>
          </w:p>
        </w:tc>
        <w:tc>
          <w:tcPr>
            <w:tcW w:type="dxa" w:w="44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7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0F9B5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TOTAL</w:t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0F9B5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64 000</w:t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0F9B5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1 153,0</w:t>
            </w:r>
          </w:p>
        </w:tc>
        <w:tc>
          <w:tcPr>
            <w:tcW w:type="dxa" w:w="44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0F9B5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Valorisé en matière : 1 141 kg (99 %)</w:t>
            </w:r>
          </w:p>
        </w:tc>
      </w:tr>
    </w:tbl>
    <w:p>
      <w:pPr>
        <w:spacing w:after="0" w:before="0" w:line="140" w:lineRule="exact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33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5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1"/>
                <w:szCs w:val="21"/>
              </w:rPr>
              <w:t xml:space="preserve">Poids collecté par semaine (kg)</w:t>
            </w:r>
          </w:p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5334000" cy="2171700"/>
                  <wp:effectExtent t="0" r="0" b="0" l="0"/>
                  <wp:docPr id="1" name="chart" descr="Poids collecté par semaine" title="Graphiqu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17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"/>
        <w:gridCol w:w="9486"/>
      </w:tblGrid>
      <w:tr>
        <w:trPr>
          <w:cantSplit/>
          <w:trHeight w:val="480" w:hRule="atLeast"/>
        </w:trPr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5B3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30"/>
                <w:szCs w:val="30"/>
              </w:rPr>
              <w:t xml:space="preserve">2</w:t>
            </w:r>
          </w:p>
        </w:tc>
        <w:tc>
          <w:tcPr>
            <w:tcW w:type="dxa" w:w="9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CF8C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6"/>
                <w:szCs w:val="26"/>
              </w:rPr>
              <w:t xml:space="preserve">Ventilation par site</w:t>
            </w:r>
          </w:p>
        </w:tc>
      </w:tr>
    </w:tbl>
    <w:p>
      <w:pPr>
        <w:spacing w:after="0" w:before="0" w:line="80" w:lineRule="exact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1800"/>
        <w:gridCol w:w="1800"/>
        <w:gridCol w:w="2906"/>
      </w:tblGrid>
      <w:tr>
        <w:trPr>
          <w:cantSplit/>
          <w:trHeight w:val="460" w:hRule="atLeast"/>
        </w:trPr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Code de suivi</w:t>
            </w:r>
          </w:p>
        </w:tc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Collectes</w:t>
            </w:r>
          </w:p>
        </w:tc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Chariots</w:t>
            </w:r>
          </w:p>
        </w:tc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Poids (kg)</w:t>
            </w:r>
          </w:p>
        </w:tc>
        <w:tc>
          <w:tcPr>
            <w:tcW w:type="dxa" w:w="29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Part du total</w:t>
            </w:r>
          </w:p>
        </w:tc>
      </w:tr>
      <w:tr>
        <w:trPr>
          <w:cantSplit/>
          <w:trHeight w:val="380" w:hRule="atLeast"/>
        </w:trPr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2F2E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UA-GR-01</w:t>
            </w:r>
          </w:p>
        </w:tc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4</w:t>
            </w:r>
          </w:p>
        </w:tc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10</w:t>
            </w:r>
          </w:p>
        </w:tc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168,0</w:t>
            </w:r>
          </w:p>
        </w:tc>
        <w:tc>
          <w:tcPr>
            <w:tcW w:type="dxa" w:w="29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15 %</w:t>
            </w:r>
          </w:p>
        </w:tc>
      </w:tr>
      <w:tr>
        <w:trPr>
          <w:cantSplit/>
          <w:trHeight w:val="380" w:hRule="atLeast"/>
        </w:trPr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CF8C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UA-GR-02</w:t>
            </w:r>
          </w:p>
        </w:tc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4</w:t>
            </w:r>
          </w:p>
        </w:tc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9</w:t>
            </w:r>
          </w:p>
        </w:tc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152,0</w:t>
            </w:r>
          </w:p>
        </w:tc>
        <w:tc>
          <w:tcPr>
            <w:tcW w:type="dxa" w:w="29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13 %</w:t>
            </w:r>
          </w:p>
        </w:tc>
      </w:tr>
      <w:tr>
        <w:trPr>
          <w:cantSplit/>
          <w:trHeight w:val="380" w:hRule="atLeast"/>
        </w:trPr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3F1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UA-GR-03</w:t>
            </w:r>
          </w:p>
        </w:tc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3</w:t>
            </w:r>
          </w:p>
        </w:tc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8</w:t>
            </w:r>
          </w:p>
        </w:tc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131,0</w:t>
            </w:r>
          </w:p>
        </w:tc>
        <w:tc>
          <w:tcPr>
            <w:tcW w:type="dxa" w:w="29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11 %</w:t>
            </w:r>
          </w:p>
        </w:tc>
      </w:tr>
      <w:tr>
        <w:trPr>
          <w:cantSplit/>
          <w:trHeight w:val="380" w:hRule="atLeast"/>
        </w:trPr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2F2E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UA-GR-04</w:t>
            </w:r>
          </w:p>
        </w:tc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5</w:t>
            </w:r>
          </w:p>
        </w:tc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12</w:t>
            </w:r>
          </w:p>
        </w:tc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214,0</w:t>
            </w:r>
          </w:p>
        </w:tc>
        <w:tc>
          <w:tcPr>
            <w:tcW w:type="dxa" w:w="29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19 %</w:t>
            </w:r>
          </w:p>
        </w:tc>
      </w:tr>
      <w:tr>
        <w:trPr>
          <w:cantSplit/>
          <w:trHeight w:val="380" w:hRule="atLeast"/>
        </w:trPr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CF8C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UA-GR-05</w:t>
            </w:r>
          </w:p>
        </w:tc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3</w:t>
            </w:r>
          </w:p>
        </w:tc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7</w:t>
            </w:r>
          </w:p>
        </w:tc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122,0</w:t>
            </w:r>
          </w:p>
        </w:tc>
        <w:tc>
          <w:tcPr>
            <w:tcW w:type="dxa" w:w="29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11 %</w:t>
            </w:r>
          </w:p>
        </w:tc>
      </w:tr>
      <w:tr>
        <w:trPr>
          <w:cantSplit/>
          <w:trHeight w:val="380" w:hRule="atLeast"/>
        </w:trPr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3F1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UA-GR-06</w:t>
            </w:r>
          </w:p>
        </w:tc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4</w:t>
            </w:r>
          </w:p>
        </w:tc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10</w:t>
            </w:r>
          </w:p>
        </w:tc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157,0</w:t>
            </w:r>
          </w:p>
        </w:tc>
        <w:tc>
          <w:tcPr>
            <w:tcW w:type="dxa" w:w="29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14 %</w:t>
            </w:r>
          </w:p>
        </w:tc>
      </w:tr>
      <w:tr>
        <w:trPr>
          <w:cantSplit/>
          <w:trHeight w:val="380" w:hRule="atLeast"/>
        </w:trPr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2F2E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UA-GR-07</w:t>
            </w:r>
          </w:p>
        </w:tc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3</w:t>
            </w:r>
          </w:p>
        </w:tc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9</w:t>
            </w:r>
          </w:p>
        </w:tc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119,0</w:t>
            </w:r>
          </w:p>
        </w:tc>
        <w:tc>
          <w:tcPr>
            <w:tcW w:type="dxa" w:w="29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10 %</w:t>
            </w:r>
          </w:p>
        </w:tc>
      </w:tr>
      <w:tr>
        <w:trPr>
          <w:cantSplit/>
          <w:trHeight w:val="380" w:hRule="atLeast"/>
        </w:trPr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CF8C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UA-GR-08</w:t>
            </w:r>
          </w:p>
        </w:tc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4</w:t>
            </w:r>
          </w:p>
        </w:tc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9</w:t>
            </w:r>
          </w:p>
        </w:tc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90,0</w:t>
            </w:r>
          </w:p>
        </w:tc>
        <w:tc>
          <w:tcPr>
            <w:tcW w:type="dxa" w:w="29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8 %</w:t>
            </w:r>
          </w:p>
        </w:tc>
      </w:tr>
      <w:tr>
        <w:trPr>
          <w:cantSplit/>
          <w:trHeight w:val="400" w:hRule="atLeast"/>
        </w:trPr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0F9B5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TOTAL</w:t>
            </w:r>
          </w:p>
        </w:tc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0F9B5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30</w:t>
            </w:r>
          </w:p>
        </w:tc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0F9B5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74</w:t>
            </w:r>
          </w:p>
        </w:tc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0F9B5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1 153,0</w:t>
            </w:r>
          </w:p>
        </w:tc>
        <w:tc>
          <w:tcPr>
            <w:tcW w:type="dxa" w:w="29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0F9B5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100 %</w:t>
            </w:r>
          </w:p>
        </w:tc>
      </w:tr>
    </w:tbl>
    <w:p>
      <w:pPr>
        <w:spacing w:after="0" w:before="0" w:line="160" w:lineRule="exact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"/>
        <w:gridCol w:w="9486"/>
      </w:tblGrid>
      <w:tr>
        <w:trPr>
          <w:cantSplit/>
          <w:trHeight w:val="480" w:hRule="atLeast"/>
        </w:trPr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5B3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30"/>
                <w:szCs w:val="30"/>
              </w:rPr>
              <w:t xml:space="preserve">3</w:t>
            </w:r>
          </w:p>
        </w:tc>
        <w:tc>
          <w:tcPr>
            <w:tcW w:type="dxa" w:w="9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1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6"/>
                <w:szCs w:val="26"/>
              </w:rPr>
              <w:t xml:space="preserve">Distribution et destinataires</w:t>
            </w:r>
          </w:p>
        </w:tc>
      </w:tr>
    </w:tbl>
    <w:p>
      <w:pPr>
        <w:spacing w:after="0" w:before="0" w:line="80" w:lineRule="exact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800"/>
        <w:gridCol w:w="2100"/>
        <w:gridCol w:w="2406"/>
      </w:tblGrid>
      <w:tr>
        <w:trPr>
          <w:cantSplit/>
          <w:trHeight w:val="460" w:hRule="atLeast"/>
        </w:trPr>
        <w:tc>
          <w:tcPr>
            <w:tcW w:type="dxa" w:w="2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Partenaire de distribution</w:t>
            </w:r>
          </w:p>
        </w:tc>
        <w:tc>
          <w:tcPr>
            <w:tcW w:type="dxa" w:w="2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Public</w:t>
            </w:r>
          </w:p>
        </w:tc>
        <w:tc>
          <w:tcPr>
            <w:tcW w:type="dxa" w:w="21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Objets reçus</w:t>
            </w:r>
          </w:p>
        </w:tc>
        <w:tc>
          <w:tcPr>
            <w:tcW w:type="dxa" w:w="24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Bénéficiaires</w:t>
            </w:r>
          </w:p>
        </w:tc>
      </w:tr>
      <w:tr>
        <w:trPr>
          <w:cantSplit/>
          <w:trHeight w:val="400" w:hRule="atLeast"/>
        </w:trPr>
        <w:tc>
          <w:tcPr>
            <w:tcW w:type="dxa" w:w="2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2F2E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Bailleur Exemple A</w:t>
            </w:r>
          </w:p>
        </w:tc>
        <w:tc>
          <w:tcPr>
            <w:tcW w:type="dxa" w:w="2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Locataires</w:t>
            </w:r>
          </w:p>
        </w:tc>
        <w:tc>
          <w:tcPr>
            <w:tcW w:type="dxa" w:w="21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800</w:t>
            </w:r>
          </w:p>
        </w:tc>
        <w:tc>
          <w:tcPr>
            <w:tcW w:type="dxa" w:w="24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210</w:t>
            </w:r>
          </w:p>
        </w:tc>
      </w:tr>
      <w:tr>
        <w:trPr>
          <w:cantSplit/>
          <w:trHeight w:val="400" w:hRule="atLeast"/>
        </w:trPr>
        <w:tc>
          <w:tcPr>
            <w:tcW w:type="dxa" w:w="2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CF8C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Bailleur Exemple B</w:t>
            </w:r>
          </w:p>
        </w:tc>
        <w:tc>
          <w:tcPr>
            <w:tcW w:type="dxa" w:w="2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Locataires</w:t>
            </w:r>
          </w:p>
        </w:tc>
        <w:tc>
          <w:tcPr>
            <w:tcW w:type="dxa" w:w="21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600</w:t>
            </w:r>
          </w:p>
        </w:tc>
        <w:tc>
          <w:tcPr>
            <w:tcW w:type="dxa" w:w="24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160</w:t>
            </w:r>
          </w:p>
        </w:tc>
      </w:tr>
      <w:tr>
        <w:trPr>
          <w:cantSplit/>
          <w:trHeight w:val="400" w:hRule="atLeast"/>
        </w:trPr>
        <w:tc>
          <w:tcPr>
            <w:tcW w:type="dxa" w:w="2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3F1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Opérateur Exemple C</w:t>
            </w:r>
          </w:p>
        </w:tc>
        <w:tc>
          <w:tcPr>
            <w:tcW w:type="dxa" w:w="2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Clients, voyageurs</w:t>
            </w:r>
          </w:p>
        </w:tc>
        <w:tc>
          <w:tcPr>
            <w:tcW w:type="dxa" w:w="21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550</w:t>
            </w:r>
          </w:p>
        </w:tc>
        <w:tc>
          <w:tcPr>
            <w:tcW w:type="dxa" w:w="24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140</w:t>
            </w:r>
          </w:p>
        </w:tc>
      </w:tr>
      <w:tr>
        <w:trPr>
          <w:cantSplit/>
          <w:trHeight w:val="400" w:hRule="atLeast"/>
        </w:trPr>
        <w:tc>
          <w:tcPr>
            <w:tcW w:type="dxa" w:w="2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2F2E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Association Exemple D</w:t>
            </w:r>
          </w:p>
        </w:tc>
        <w:tc>
          <w:tcPr>
            <w:tcW w:type="dxa" w:w="2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Enfance et jeunesse</w:t>
            </w:r>
          </w:p>
        </w:tc>
        <w:tc>
          <w:tcPr>
            <w:tcW w:type="dxa" w:w="21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450</w:t>
            </w:r>
          </w:p>
        </w:tc>
        <w:tc>
          <w:tcPr>
            <w:tcW w:type="dxa" w:w="24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130</w:t>
            </w:r>
          </w:p>
        </w:tc>
      </w:tr>
      <w:tr>
        <w:trPr>
          <w:cantSplit/>
          <w:trHeight w:val="400" w:hRule="atLeast"/>
        </w:trPr>
        <w:tc>
          <w:tcPr>
            <w:tcW w:type="dxa" w:w="5600"/>
            <w:gridSpan w:val="2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0F9B5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TOTAL</w:t>
            </w:r>
          </w:p>
        </w:tc>
        <w:tc>
          <w:tcPr>
            <w:tcW w:type="dxa" w:w="21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0F9B5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2 400</w:t>
            </w:r>
          </w:p>
        </w:tc>
        <w:tc>
          <w:tcPr>
            <w:tcW w:type="dxa" w:w="24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0F9B5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640</w:t>
            </w:r>
          </w:p>
        </w:tc>
      </w:tr>
    </w:tbl>
    <w:p>
      <w:pPr>
        <w:spacing w:after="60" w:before="60"/>
        <w:jc w:val="left"/>
      </w:pPr>
      <w:r>
        <w:rPr>
          <w:rFonts w:ascii="Arial" w:cs="Arial" w:eastAsia="Arial" w:hAnsi="Arial"/>
          <w:i/>
          <w:iCs/>
          <w:color w:val="6C8545"/>
          <w:sz w:val="17"/>
          <w:szCs w:val="17"/>
        </w:rPr>
        <w:t xml:space="preserve">Objets réalisés : 520 objets de couture (tote-bags, sacs bourse, trousses, kits à lacer ; ESAT de Vence) et 2 400 kits de géométrie et fournitures scolaires, remis aux partenaires de distribution ou utilisés dans nos ateliers. Noms et coordonnées des partenaires de distribution : annexe nominative, avec leur accord.</w:t>
      </w:r>
    </w:p>
    <w:p>
      <w:pPr>
        <w:spacing w:after="0" w:before="0" w:line="160" w:lineRule="exact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"/>
        <w:gridCol w:w="9486"/>
      </w:tblGrid>
      <w:tr>
        <w:trPr>
          <w:cantSplit/>
          <w:trHeight w:val="480" w:hRule="atLeast"/>
        </w:trPr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5B3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30"/>
                <w:szCs w:val="30"/>
              </w:rPr>
              <w:t xml:space="preserve">4</w:t>
            </w:r>
          </w:p>
        </w:tc>
        <w:tc>
          <w:tcPr>
            <w:tcW w:type="dxa" w:w="9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2F2E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6"/>
                <w:szCs w:val="26"/>
              </w:rPr>
              <w:t xml:space="preserve">Impact social et environnemental</w:t>
            </w:r>
          </w:p>
        </w:tc>
      </w:tr>
    </w:tbl>
    <w:p>
      <w:pPr>
        <w:spacing w:after="0" w:before="0" w:line="80" w:lineRule="exact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17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2F2E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780 heures de travail inclusif</w:t>
            </w: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 créées (ESAT de Vence : 420 h, atelier : 360 h), soit environ 1,9 ETP inclusif sur la période.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99 % de matière recyclée</w:t>
            </w: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, 1 % de fraction non recyclée éliminée (12 kg).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Matière détournée de l’élimination : 1 141 kg. </w:t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CO₂e évités</w:t>
            </w: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 : [valeur à renseigner] kg, soit poids recyclé × (facteur matière vierge − facteur matière recyclée), facteurs Base Empreinte® ADEME, scénario de référence publié ; présentés comme une contribution, hors bilan GES.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Équipe mobilisée : 1 à 2 chauffeurs et 2 agents de tri et de contrôle qualité ; 30 collectes avec les Renault Master 12 m³ et le Kangoo 4 m³.</w:t>
            </w:r>
          </w:p>
        </w:tc>
      </w:tr>
    </w:tbl>
    <w:p>
      <w:pPr>
        <w:spacing w:after="0" w:before="0" w:line="160" w:lineRule="exact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"/>
        <w:gridCol w:w="9486"/>
      </w:tblGrid>
      <w:tr>
        <w:trPr>
          <w:cantSplit/>
          <w:trHeight w:val="480" w:hRule="atLeast"/>
        </w:trPr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5B3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30"/>
                <w:szCs w:val="30"/>
              </w:rPr>
              <w:t xml:space="preserve">5</w:t>
            </w:r>
          </w:p>
        </w:tc>
        <w:tc>
          <w:tcPr>
            <w:tcW w:type="dxa" w:w="9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CF8C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6"/>
                <w:szCs w:val="26"/>
              </w:rPr>
              <w:t xml:space="preserve">Faits marquants et points d’attention</w:t>
            </w:r>
          </w:p>
        </w:tc>
      </w:tr>
    </w:tbl>
    <w:p>
      <w:pPr>
        <w:spacing w:after="0" w:before="0" w:line="80" w:lineRule="exact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13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9B5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Montée en charge régulière : de 40 kg en semaine 1 à 138 kg en semaine 12.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Un lot mis en quarantaine en semaine 5 (souillure visible), traité et orienté vers une filière adaptée.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Prochain trimestre : intégrer de nouveaux sites, confirmer la fréquence de collecte et la cadence de tri.</w:t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800" w:right="900" w:bottom="900" w:left="900" w:header="400" w:footer="40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6C8545" w:sz="6" w:space="4"/>
      </w:pBdr>
      <w:tabs>
        <w:tab w:val="right" w:pos="10106"/>
      </w:tabs>
    </w:pPr>
    <w:r>
      <w:rPr>
        <w:rFonts w:ascii="Arial" w:cs="Arial" w:eastAsia="Arial" w:hAnsi="Arial"/>
        <w:color w:val="6C8545"/>
        <w:sz w:val="16"/>
        <w:szCs w:val="16"/>
      </w:rPr>
      <w:t xml:space="preserve">Upcycle Academy  ·  862 route de Saint-Laurent-du-Var, ZA Les Nertières, 06610 La Gaude</w:t>
    </w:r>
    <w:r>
      <w:rPr>
        <w:rFonts w:ascii="Arial" w:cs="Arial" w:eastAsia="Arial" w:hAnsi="Arial"/>
        <w:color w:val="6C8545"/>
        <w:sz w:val="16"/>
        <w:szCs w:val="16"/>
      </w:rPr>
      <w:t xml:space="preserve">	Page </w:t>
    </w:r>
    <w:r>
      <w:rPr>
        <w:rFonts w:ascii="Arial" w:cs="Arial" w:eastAsia="Arial" w:hAnsi="Arial"/>
        <w:color w:val="6C8545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C8545"/>
        <w:sz w:val="16"/>
        <w:szCs w:val="16"/>
      </w:rPr>
      <w:t xml:space="preserve"> / </w:t>
    </w:r>
    <w:r>
      <w:rPr>
        <w:rFonts w:ascii="Arial" w:cs="Arial" w:eastAsia="Arial" w:hAnsi="Arial"/>
        <w:color w:val="6C8545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6C8545" w:sz="6" w:space="4"/>
      </w:pBdr>
      <w:tabs>
        <w:tab w:val="right" w:pos="10106"/>
      </w:tabs>
    </w:pPr>
    <w:r>
      <w:rPr>
        <w:rFonts w:ascii="Arial" w:cs="Arial" w:eastAsia="Arial" w:hAnsi="Arial"/>
        <w:color w:val="6C8545"/>
        <w:sz w:val="16"/>
        <w:szCs w:val="16"/>
      </w:rPr>
      <w:t xml:space="preserve">Upcycle Academy  ·  862 route de Saint-Laurent-du-Var, ZA Les Nertières, 06610 La Gaude</w:t>
    </w:r>
    <w:r>
      <w:rPr>
        <w:rFonts w:ascii="Arial" w:cs="Arial" w:eastAsia="Arial" w:hAnsi="Arial"/>
        <w:color w:val="6C8545"/>
        <w:sz w:val="16"/>
        <w:szCs w:val="16"/>
      </w:rPr>
      <w:t xml:space="preserve">	Page </w:t>
    </w:r>
    <w:r>
      <w:rPr>
        <w:rFonts w:ascii="Arial" w:cs="Arial" w:eastAsia="Arial" w:hAnsi="Arial"/>
        <w:color w:val="6C8545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C8545"/>
        <w:sz w:val="16"/>
        <w:szCs w:val="16"/>
      </w:rPr>
      <w:t xml:space="preserve"> / </w:t>
    </w:r>
    <w:r>
      <w:rPr>
        <w:rFonts w:ascii="Arial" w:cs="Arial" w:eastAsia="Arial" w:hAnsi="Arial"/>
        <w:color w:val="6C8545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8F55A" w:sz="6" w:space="4"/>
      </w:pBdr>
      <w:jc w:val="right"/>
    </w:pPr>
    <w:r>
      <w:rPr>
        <w:rFonts w:ascii="Arial" w:cs="Arial" w:eastAsia="Arial" w:hAnsi="Arial"/>
        <w:b/>
        <w:bCs/>
        <w:color w:val="1B5B3F"/>
        <w:sz w:val="16"/>
        <w:szCs w:val="16"/>
      </w:rPr>
      <w:t xml:space="preserve">RAPPORT D’IMPACT  ·  Synthèse trimestrielle  ·  Maquette fictive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00"/>
      </w:pPr>
      <w:rPr>
        <w:color w:val="6C8545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a24bd50775e6bd4210dcd9e21779be7d75134393.png"/><Relationship Id="rId12" Type="http://schemas.openxmlformats.org/officeDocument/2006/relationships/image" Target="media/8593cbb719d13d3e0874c2389d0f366fb7dea994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D’IMPACT  ·  Synthèse trimestrielle  ·  Maquette fictive</dc:title>
  <dc:creator>Upcycle Academy</dc:creator>
  <cp:lastModifiedBy>Un-named</cp:lastModifiedBy>
  <cp:revision>1</cp:revision>
  <dcterms:created xsi:type="dcterms:W3CDTF">2026-10-19T21:42:35.856Z</dcterms:created>
  <dcterms:modified xsi:type="dcterms:W3CDTF">2026-10-19T21:42:35.856Z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