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8406"/>
      </w:tblGrid>
      <w:tr>
        <w:trPr>
          <w:cantSplit/>
          <w:trHeight w:val="1500" w:hRule="atLeast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914400" cy="914400"/>
                  <wp:effectExtent t="0" r="0" b="0" l="0"/>
                  <wp:docPr id="1" name="logo" descr="Logo Upcycle Academy" titl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E8F55A"/>
                <w:sz w:val="44"/>
                <w:szCs w:val="44"/>
              </w:rPr>
              <w:t xml:space="preserve">PROJET PILOTE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F6EDC8"/>
                <w:sz w:val="23"/>
                <w:szCs w:val="23"/>
              </w:rPr>
              <w:t xml:space="preserve">Collecte et valorisation locales de vos EPI jetables  ·  Industriels de la parfumerie du Pays de Grasse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BFD8BF"/>
                <w:sz w:val="18"/>
                <w:szCs w:val="18"/>
              </w:rPr>
              <w:t xml:space="preserve">Réponse à la consultation EPI  ·  Proposition sur mesure  ·  Octobre 2026</w:t>
            </w:r>
          </w:p>
        </w:tc>
      </w:tr>
    </w:tbl>
    <w:p>
      <w:pPr>
        <w:spacing w:after="80" w:before="120" w:line="300"/>
        <w:jc w:val="left"/>
      </w:pPr>
      <w:r>
        <w:rPr>
          <w:rFonts w:ascii="Arial" w:cs="Arial" w:eastAsia="Arial" w:hAnsi="Arial"/>
          <w:b w:val="false"/>
          <w:bCs w:val="false"/>
          <w:color w:val="232438"/>
          <w:sz w:val="20"/>
          <w:szCs w:val="20"/>
        </w:rPr>
        <w:t xml:space="preserve">Ce pilote propose d’éprouver, sur des </w:t>
      </w:r>
      <w:r>
        <w:rPr>
          <w:rFonts w:ascii="Arial" w:cs="Arial" w:eastAsia="Arial" w:hAnsi="Arial"/>
          <w:b/>
          <w:bCs/>
          <w:color w:val="1B5B3F"/>
          <w:sz w:val="20"/>
          <w:szCs w:val="20"/>
        </w:rPr>
        <w:t xml:space="preserve">sites volontaires</w:t>
      </w:r>
      <w:r>
        <w:rPr>
          <w:rFonts w:ascii="Arial" w:cs="Arial" w:eastAsia="Arial" w:hAnsi="Arial"/>
          <w:b w:val="false"/>
          <w:bCs w:val="false"/>
          <w:color w:val="232438"/>
          <w:sz w:val="20"/>
          <w:szCs w:val="20"/>
        </w:rPr>
        <w:t xml:space="preserve"> et pendant </w:t>
      </w:r>
      <w:r>
        <w:rPr>
          <w:rFonts w:ascii="Arial" w:cs="Arial" w:eastAsia="Arial" w:hAnsi="Arial"/>
          <w:b/>
          <w:bCs/>
          <w:color w:val="1B5B3F"/>
          <w:sz w:val="20"/>
          <w:szCs w:val="20"/>
        </w:rPr>
        <w:t xml:space="preserve">12 semaines</w:t>
      </w:r>
      <w:r>
        <w:rPr>
          <w:rFonts w:ascii="Arial" w:cs="Arial" w:eastAsia="Arial" w:hAnsi="Arial"/>
          <w:b w:val="false"/>
          <w:bCs w:val="false"/>
          <w:color w:val="232438"/>
          <w:sz w:val="20"/>
          <w:szCs w:val="20"/>
        </w:rPr>
        <w:t xml:space="preserve">, un circuit complet et tracé : </w:t>
      </w:r>
      <w:r>
        <w:rPr>
          <w:rFonts w:ascii="Arial" w:cs="Arial" w:eastAsia="Arial" w:hAnsi="Arial"/>
          <w:b/>
          <w:bCs/>
          <w:color w:val="1B5B3F"/>
          <w:sz w:val="20"/>
          <w:szCs w:val="20"/>
        </w:rPr>
        <w:t xml:space="preserve">support QR code, collecte, tri, découpe, destruction des marquages à la demande et conception d’objets</w:t>
      </w:r>
      <w:r>
        <w:rPr>
          <w:rFonts w:ascii="Arial" w:cs="Arial" w:eastAsia="Arial" w:hAnsi="Arial"/>
          <w:b w:val="false"/>
          <w:bCs w:val="false"/>
          <w:color w:val="232438"/>
          <w:sz w:val="20"/>
          <w:szCs w:val="20"/>
        </w:rPr>
        <w:t xml:space="preserve">, avec un suivi chiffré partagé avec les industriels. Les objets sont remis à nos partenaires ou </w:t>
      </w:r>
      <w:r>
        <w:rPr>
          <w:rFonts w:ascii="Arial" w:cs="Arial" w:eastAsia="Arial" w:hAnsi="Arial"/>
          <w:b/>
          <w:bCs/>
          <w:color w:val="1B5B3F"/>
          <w:sz w:val="20"/>
          <w:szCs w:val="20"/>
        </w:rPr>
        <w:t xml:space="preserve">utilisés dans nos ateliers</w:t>
      </w:r>
      <w:r>
        <w:rPr>
          <w:rFonts w:ascii="Arial" w:cs="Arial" w:eastAsia="Arial" w:hAnsi="Arial"/>
          <w:b w:val="false"/>
          <w:bCs w:val="false"/>
          <w:color w:val="232438"/>
          <w:sz w:val="20"/>
          <w:szCs w:val="20"/>
        </w:rPr>
        <w:t xml:space="preserve"> (dont des ateliers labellisés ADEME pour la Semaine européenne de la réduction des déchets). </w:t>
      </w:r>
      <w:r>
        <w:rPr>
          <w:rFonts w:ascii="Arial" w:cs="Arial" w:eastAsia="Arial" w:hAnsi="Arial"/>
          <w:b/>
          <w:bCs/>
          <w:color w:val="1B5B3F"/>
          <w:sz w:val="20"/>
          <w:szCs w:val="20"/>
        </w:rPr>
        <w:t xml:space="preserve">Références : Enedis, Automobile Club de Monaco, Arkopharma, SOFIA Cosmetics.</w:t>
      </w:r>
      <w:r>
        <w:rPr>
          <w:rFonts w:ascii="Arial" w:cs="Arial" w:eastAsia="Arial" w:hAnsi="Arial"/>
          <w:b w:val="false"/>
          <w:bCs w:val="false"/>
          <w:color w:val="232438"/>
          <w:sz w:val="20"/>
          <w:szCs w:val="20"/>
        </w:rPr>
        <w:t xml:space="preserve"/>
      </w:r>
    </w:p>
    <w:p>
      <w:pPr>
        <w:spacing w:after="0" w:before="0" w:line="60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6"/>
        <w:gridCol w:w="2526"/>
        <w:gridCol w:w="2526"/>
        <w:gridCol w:w="2528"/>
      </w:tblGrid>
      <w:tr>
        <w:trPr>
          <w:cantSplit/>
          <w:trHeight w:val="950" w:hRule="atLeast"/>
        </w:trPr>
        <w:tc>
          <w:tcPr>
            <w:tcW w:type="dxa" w:w="2526"/>
            <w:tcBorders>
              <w:top w:val="none" w:color="FFFFFF" w:sz="0"/>
              <w:left w:val="single" w:color="FFFFFF" w:sz="24"/>
              <w:bottom w:val="none" w:color="FFFFFF" w:sz="0"/>
              <w:right w:val="single" w:color="FFFFFF" w:sz="2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34"/>
                <w:szCs w:val="34"/>
              </w:rPr>
              <w:t xml:space="preserve">99 %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18"/>
                <w:szCs w:val="18"/>
              </w:rPr>
              <w:t xml:space="preserve">recyclage matière</w:t>
            </w:r>
          </w:p>
        </w:tc>
        <w:tc>
          <w:tcPr>
            <w:tcW w:type="dxa" w:w="2526"/>
            <w:tcBorders>
              <w:top w:val="none" w:color="FFFFFF" w:sz="0"/>
              <w:left w:val="single" w:color="FFFFFF" w:sz="24"/>
              <w:bottom w:val="none" w:color="FFFFFF" w:sz="0"/>
              <w:right w:val="single" w:color="FFFFFF" w:sz="2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34"/>
                <w:szCs w:val="34"/>
              </w:rPr>
              <w:t xml:space="preserve">1 à 3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18"/>
                <w:szCs w:val="18"/>
              </w:rPr>
              <w:t xml:space="preserve">collectes par semaine</w:t>
            </w:r>
          </w:p>
        </w:tc>
        <w:tc>
          <w:tcPr>
            <w:tcW w:type="dxa" w:w="2526"/>
            <w:tcBorders>
              <w:top w:val="none" w:color="FFFFFF" w:sz="0"/>
              <w:left w:val="single" w:color="FFFFFF" w:sz="24"/>
              <w:bottom w:val="none" w:color="FFFFFF" w:sz="0"/>
              <w:right w:val="single" w:color="FFFFFF" w:sz="24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34"/>
                <w:szCs w:val="34"/>
              </w:rPr>
              <w:t xml:space="preserve">500 L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18"/>
                <w:szCs w:val="18"/>
              </w:rPr>
              <w:t xml:space="preserve">chariot(s) roulant(s) par site</w:t>
            </w:r>
          </w:p>
        </w:tc>
        <w:tc>
          <w:tcPr>
            <w:tcW w:type="dxa" w:w="2528"/>
            <w:tcBorders>
              <w:top w:val="none" w:color="FFFFFF" w:sz="0"/>
              <w:left w:val="single" w:color="FFFFFF" w:sz="24"/>
              <w:bottom w:val="none" w:color="FFFFFF" w:sz="0"/>
              <w:right w:val="single" w:color="FFFFFF" w:sz="2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34"/>
                <w:szCs w:val="34"/>
              </w:rPr>
              <w:t xml:space="preserve">UA-GR-xx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18"/>
                <w:szCs w:val="18"/>
              </w:rPr>
              <w:t xml:space="preserve">un code de suivi par industriel</w:t>
            </w:r>
          </w:p>
        </w:tc>
      </w:tr>
    </w:tbl>
    <w:p>
      <w:pPr>
        <w:spacing w:after="0" w:before="0" w:line="40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9486"/>
      </w:tblGrid>
      <w:tr>
        <w:trPr>
          <w:cantSplit/>
          <w:trHeight w:val="480" w:hRule="atLeast"/>
        </w:trPr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0"/>
                <w:szCs w:val="30"/>
              </w:rPr>
              <w:t xml:space="preserve">1</w:t>
            </w:r>
          </w:p>
        </w:tc>
        <w:tc>
          <w:tcPr>
            <w:tcW w:type="dxa" w:w="9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6"/>
                <w:szCs w:val="26"/>
              </w:rPr>
              <w:t xml:space="preserve">Vos attentes, nos réponses</w:t>
            </w:r>
          </w:p>
        </w:tc>
      </w:tr>
    </w:tbl>
    <w:p>
      <w:pPr>
        <w:spacing w:after="0" w:before="0" w:line="4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106"/>
      </w:tblGrid>
      <w:tr>
        <w:trPr>
          <w:cantSplit/>
          <w:trHeight w:val="460" w:hRule="atLeast"/>
        </w:trPr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Votre attente</w:t>
            </w:r>
          </w:p>
        </w:tc>
        <w:tc>
          <w:tcPr>
            <w:tcW w:type="dxa" w:w="71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Notre réponse</w:t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Statut de déchet et traçabilité</w:t>
            </w:r>
          </w:p>
        </w:tc>
        <w:tc>
          <w:tcPr>
            <w:tcW w:type="dxa" w:w="71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Les EPI usagés sont traités comme des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déchets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: circuit tracé par le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code de suivi attribué à chaque industriel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(UA-GR-01 à 20, lu par QR code), bon d’enlèvement, registre de collecte et fiche de suivi par collecte.</w:t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Capacité à absorber vos volumes</w:t>
            </w:r>
          </w:p>
        </w:tc>
        <w:tc>
          <w:tcPr>
            <w:tcW w:type="dxa" w:w="71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Société à mission, locale et proche de ses clients :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3 à 4 ETP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(1 à 2 chauffeurs, 2 agents de tri et de contrôle qualité) et une flotte de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2 fourgons Renault Master de 12 m³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et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1 Renault Kangoo de 4 m³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: jusqu’à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56 contenants de 500 L par tournée complète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(capacité volumétrique théorique).</w:t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Continuité de service</w:t>
            </w:r>
          </w:p>
        </w:tc>
        <w:tc>
          <w:tcPr>
            <w:tcW w:type="dxa" w:w="71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Deux Master interchangeables, Kangoo en appoint, créneaux de collecte inscrits dans la convention, suppléance des chauffeurs :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[à désigner]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.</w:t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Fréquence de collecte</w:t>
            </w:r>
          </w:p>
        </w:tc>
        <w:tc>
          <w:tcPr>
            <w:tcW w:type="dxa" w:w="71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1 à 3 collectes par semaine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et par site, selon vos volumes, avec un ou plusieurs chariots roulants de 500 L mis à disposition et laissés sur site.</w:t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EPI acceptés</w:t>
            </w:r>
          </w:p>
        </w:tc>
        <w:tc>
          <w:tcPr>
            <w:tcW w:type="dxa" w:w="71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Charlottes, cache-barbes, blouses, couvre-chaussures et masques,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y compris avec des traces ou résidus d’huiles essentielles et de matières aromatiques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.</w:t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Devenir des EPI</w:t>
            </w:r>
          </w:p>
        </w:tc>
        <w:tc>
          <w:tcPr>
            <w:tcW w:type="dxa" w:w="71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99 % de recyclage matière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, 1 % de fraction non recyclée. Les blouses deviennent des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tote-bags, sacs bourse, trousses et kits à lacer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, remis par nos partenaires de distribution ou utilisés dans nos ateliers ; les charlottes, cache-barbes, couvre-chaussures et masques, des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kits de géométrie et fournitures scolaires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.</w:t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Preuves et transparence</w:t>
            </w:r>
          </w:p>
        </w:tc>
        <w:tc>
          <w:tcPr>
            <w:tcW w:type="dxa" w:w="71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Outil SaaS fondé sur les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indicateurs ADEME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, ventilé par site, et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rapport d’impact mensuel au format PDF, communiqué chaque trimestre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, accès en temps réel et documents téléchargeables.</w:t>
            </w:r>
          </w:p>
        </w:tc>
      </w:tr>
    </w:tbl>
    <w:p>
      <w:pPr>
        <w:spacing w:after="0" w:before="0" w:line="4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9486"/>
      </w:tblGrid>
      <w:tr>
        <w:trPr>
          <w:cantSplit/>
          <w:trHeight w:val="480" w:hRule="atLeast"/>
        </w:trPr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0"/>
                <w:szCs w:val="30"/>
              </w:rPr>
              <w:t xml:space="preserve">2</w:t>
            </w:r>
          </w:p>
        </w:tc>
        <w:tc>
          <w:tcPr>
            <w:tcW w:type="dxa" w:w="9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6"/>
                <w:szCs w:val="26"/>
              </w:rPr>
              <w:t xml:space="preserve">Le dispositif, de bout en bout</w:t>
            </w:r>
          </w:p>
        </w:tc>
      </w:tr>
    </w:tbl>
    <w:p>
      <w:pPr>
        <w:spacing w:after="0" w:before="0" w:line="4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21"/>
        <w:gridCol w:w="2021"/>
        <w:gridCol w:w="2021"/>
        <w:gridCol w:w="2021"/>
        <w:gridCol w:w="2022"/>
      </w:tblGrid>
      <w:tr>
        <w:trPr>
          <w:cantSplit/>
          <w:trHeight w:val="560" w:hRule="atLeast"/>
        </w:trPr>
        <w:tc>
          <w:tcPr>
            <w:tcW w:type="dxa" w:w="2021"/>
            <w:tcBorders>
              <w:top w:val="none" w:color="FFFFFF" w:sz="0"/>
              <w:left w:val="single" w:color="FFFFFF" w:sz="16"/>
              <w:bottom w:val="none" w:color="FFFFFF" w:sz="0"/>
              <w:right w:val="single" w:color="FFFFFF" w:sz="16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C8545"/>
                <w:sz w:val="26"/>
                <w:szCs w:val="26"/>
              </w:rPr>
              <w:t xml:space="preserve">1 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Support QR</w:t>
            </w:r>
          </w:p>
        </w:tc>
        <w:tc>
          <w:tcPr>
            <w:tcW w:type="dxa" w:w="2021"/>
            <w:tcBorders>
              <w:top w:val="none" w:color="FFFFFF" w:sz="0"/>
              <w:left w:val="single" w:color="FFFFFF" w:sz="16"/>
              <w:bottom w:val="none" w:color="FFFFFF" w:sz="0"/>
              <w:right w:val="single" w:color="FFFFFF" w:sz="16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C8545"/>
                <w:sz w:val="26"/>
                <w:szCs w:val="26"/>
              </w:rPr>
              <w:t xml:space="preserve">2 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Collecte</w:t>
            </w:r>
          </w:p>
        </w:tc>
        <w:tc>
          <w:tcPr>
            <w:tcW w:type="dxa" w:w="2021"/>
            <w:tcBorders>
              <w:top w:val="none" w:color="FFFFFF" w:sz="0"/>
              <w:left w:val="single" w:color="FFFFFF" w:sz="16"/>
              <w:bottom w:val="none" w:color="FFFFFF" w:sz="0"/>
              <w:right w:val="single" w:color="FFFFFF" w:sz="16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C8545"/>
                <w:sz w:val="26"/>
                <w:szCs w:val="26"/>
              </w:rPr>
              <w:t xml:space="preserve">3 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Tri</w:t>
            </w:r>
          </w:p>
        </w:tc>
        <w:tc>
          <w:tcPr>
            <w:tcW w:type="dxa" w:w="2021"/>
            <w:tcBorders>
              <w:top w:val="none" w:color="FFFFFF" w:sz="0"/>
              <w:left w:val="single" w:color="FFFFFF" w:sz="16"/>
              <w:bottom w:val="none" w:color="FFFFFF" w:sz="0"/>
              <w:right w:val="single" w:color="FFFFFF" w:sz="16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C8545"/>
                <w:sz w:val="26"/>
                <w:szCs w:val="26"/>
              </w:rPr>
              <w:t xml:space="preserve">4 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Découpe</w:t>
            </w:r>
          </w:p>
        </w:tc>
        <w:tc>
          <w:tcPr>
            <w:tcW w:type="dxa" w:w="2022"/>
            <w:tcBorders>
              <w:top w:val="none" w:color="FFFFFF" w:sz="0"/>
              <w:left w:val="single" w:color="FFFFFF" w:sz="16"/>
              <w:bottom w:val="none" w:color="FFFFFF" w:sz="0"/>
              <w:right w:val="single" w:color="FFFFFF" w:sz="16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C8545"/>
                <w:sz w:val="26"/>
                <w:szCs w:val="26"/>
              </w:rPr>
              <w:t xml:space="preserve">5 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Kits</w:t>
            </w:r>
          </w:p>
        </w:tc>
      </w:tr>
    </w:tbl>
    <w:p>
      <w:pPr>
        <w:spacing w:after="0" w:before="0" w:line="4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5000"/>
        <w:gridCol w:w="3206"/>
      </w:tblGrid>
      <w:tr>
        <w:trPr>
          <w:cantSplit/>
          <w:trHeight w:val="460" w:hRule="atLeast"/>
        </w:trPr>
        <w:tc>
          <w:tcPr>
            <w:tcW w:type="dxa" w:w="1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Étape</w:t>
            </w:r>
          </w:p>
        </w:tc>
        <w:tc>
          <w:tcPr>
            <w:tcW w:type="dxa" w:w="5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Ce que nous faisons</w:t>
            </w:r>
          </w:p>
        </w:tc>
        <w:tc>
          <w:tcPr>
            <w:tcW w:type="dxa" w:w="32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Ce que vous faites</w:t>
            </w:r>
          </w:p>
        </w:tc>
      </w:tr>
      <w:tr>
        <w:trPr>
          <w:cantSplit/>
          <w:trHeight w:val="700" w:hRule="atLeast"/>
        </w:trPr>
        <w:tc>
          <w:tcPr>
            <w:tcW w:type="dxa" w:w="1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1  Support QR code</w:t>
            </w:r>
          </w:p>
        </w:tc>
        <w:tc>
          <w:tcPr>
            <w:tcW w:type="dxa" w:w="5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Chariot(s) roulant(s) de 500 L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mis à disposition et laissés sur site, avec affiche de consignes.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Big bags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pour acheminer les EPI en gardant le suivi :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un code attribué à chaque industriel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(UA-GR-01 à 20, QR code).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Registre de collecte numérique.</w:t>
            </w:r>
          </w:p>
        </w:tc>
        <w:tc>
          <w:tcPr>
            <w:tcW w:type="dxa" w:w="32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Désigner un référent site.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Choisir l’emplacement des chariots.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Valider les consignes de dépôt.</w:t>
            </w:r>
          </w:p>
        </w:tc>
      </w:tr>
      <w:tr>
        <w:trPr>
          <w:cantSplit/>
          <w:trHeight w:val="700" w:hRule="atLeast"/>
        </w:trPr>
        <w:tc>
          <w:tcPr>
            <w:tcW w:type="dxa" w:w="1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2  Collecte</w:t>
            </w:r>
          </w:p>
        </w:tc>
        <w:tc>
          <w:tcPr>
            <w:tcW w:type="dxa" w:w="5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1 à 3 collectes par semaine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, sur créneau convenu, par nos chauffeurs, en fourgon Renault Master (12 m³) ou Kangoo (4 m³).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Scan du QR code à l’enlèvement (code, date, heure, site, chariots) ; bon d’enlèvement remis au référent.</w:t>
            </w:r>
          </w:p>
        </w:tc>
        <w:tc>
          <w:tcPr>
            <w:tcW w:type="dxa" w:w="32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Signer le bon d’enlèvement.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Prévenir en cas de volume exceptionnel.</w:t>
            </w:r>
          </w:p>
        </w:tc>
      </w:tr>
      <w:tr>
        <w:trPr>
          <w:cantSplit/>
          <w:trHeight w:val="700" w:hRule="atLeast"/>
        </w:trPr>
        <w:tc>
          <w:tcPr>
            <w:tcW w:type="dxa" w:w="1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3  Tri et pesée</w:t>
            </w:r>
          </w:p>
        </w:tc>
        <w:tc>
          <w:tcPr>
            <w:tcW w:type="dxa" w:w="5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Réception à La Gaude, scan du QR code,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pesée et comptage par catégorie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(charlottes, cache-barbes, blouses, couvre-chaussures, masques).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Contrôle qualité et orientation de chaque lot.</w:t>
            </w:r>
          </w:p>
        </w:tc>
        <w:tc>
          <w:tcPr>
            <w:tcW w:type="dxa" w:w="32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Recevoir la fiche de suivi de chaque collecte.</w:t>
            </w:r>
          </w:p>
        </w:tc>
      </w:tr>
      <w:tr>
        <w:trPr>
          <w:cantSplit/>
          <w:trHeight w:val="700" w:hRule="atLeast"/>
        </w:trPr>
        <w:tc>
          <w:tcPr>
            <w:tcW w:type="dxa" w:w="1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4  Découpe</w:t>
            </w:r>
          </w:p>
        </w:tc>
        <w:tc>
          <w:tcPr>
            <w:tcW w:type="dxa" w:w="5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Découpe sur place par notre équipe d’atelier, puis expédition vers les partenaires compétents ;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destruction des marquages et logos à la demande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Pré-découpe et préparation des matières avec l’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ESAT de Vence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.</w:t>
            </w:r>
          </w:p>
        </w:tc>
        <w:tc>
          <w:tcPr>
            <w:tcW w:type="dxa" w:w="32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Valider la charte de confidentialité.</w:t>
            </w:r>
          </w:p>
        </w:tc>
      </w:tr>
      <w:tr>
        <w:trPr>
          <w:cantSplit/>
          <w:trHeight w:val="700" w:hRule="atLeast"/>
        </w:trPr>
        <w:tc>
          <w:tcPr>
            <w:tcW w:type="dxa" w:w="1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5  Kits et distribution</w:t>
            </w:r>
          </w:p>
        </w:tc>
        <w:tc>
          <w:tcPr>
            <w:tcW w:type="dxa" w:w="50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Conception de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tote-bags, sacs bourse, trousses et kits à lacer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(blouses) avec l’ESAT de Vence.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Remise aux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partenaires de distribution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(bailleurs sociaux, opérateur de mobilité, enfance et jeunesse)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ou utilisation dans nos ateliers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, dont nos ateliers labellisés ADEME.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Kits de géométrie et fournitures scolaires : usine partenaire.</w:t>
            </w:r>
          </w:p>
        </w:tc>
        <w:tc>
          <w:tcPr>
            <w:tcW w:type="dxa" w:w="32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Valider les modèles de kits.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Être invité aux ateliers.</w:t>
            </w:r>
          </w:p>
        </w:tc>
      </w:tr>
    </w:tbl>
    <w:p>
      <w:pPr>
        <w:spacing w:after="0" w:before="0" w:line="4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9486"/>
      </w:tblGrid>
      <w:tr>
        <w:trPr>
          <w:cantSplit/>
          <w:trHeight w:val="480" w:hRule="atLeast"/>
        </w:trPr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0"/>
                <w:szCs w:val="30"/>
              </w:rPr>
              <w:t xml:space="preserve">3</w:t>
            </w:r>
          </w:p>
        </w:tc>
        <w:tc>
          <w:tcPr>
            <w:tcW w:type="dxa" w:w="9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6"/>
                <w:szCs w:val="26"/>
              </w:rPr>
              <w:t xml:space="preserve">Planning proposé</w:t>
            </w:r>
          </w:p>
        </w:tc>
      </w:tr>
    </w:tbl>
    <w:p>
      <w:pPr>
        <w:spacing w:after="0" w:before="0" w:line="4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5500"/>
        <w:gridCol w:w="2706"/>
      </w:tblGrid>
      <w:tr>
        <w:trPr>
          <w:cantSplit/>
          <w:trHeight w:val="460" w:hRule="atLeast"/>
        </w:trPr>
        <w:tc>
          <w:tcPr>
            <w:tcW w:type="dxa" w:w="1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Phase</w:t>
            </w:r>
          </w:p>
        </w:tc>
        <w:tc>
          <w:tcPr>
            <w:tcW w:type="dxa" w:w="5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Contenu</w:t>
            </w:r>
          </w:p>
        </w:tc>
        <w:tc>
          <w:tcPr>
            <w:tcW w:type="dxa" w:w="27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Livrables</w:t>
            </w:r>
          </w:p>
        </w:tc>
      </w:tr>
      <w:tr>
        <w:trPr>
          <w:cantSplit/>
          <w:trHeight w:val="520" w:hRule="atLeast"/>
        </w:trPr>
        <w:tc>
          <w:tcPr>
            <w:tcW w:type="dxa" w:w="1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Semaines 1 à 2</w:t>
            </w:r>
          </w:p>
        </w:tc>
        <w:tc>
          <w:tcPr>
            <w:tcW w:type="dxa" w:w="5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Lancement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: visite des ateliers de La Gaude et de Vence, décision du collectif, choix des sites volontaires et des emplacements, attribution des codes de suivi, charte de confidentialité.</w:t>
            </w:r>
          </w:p>
        </w:tc>
        <w:tc>
          <w:tcPr>
            <w:tcW w:type="dxa" w:w="27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Convention de pilote</w:t>
            </w:r>
          </w:p>
        </w:tc>
      </w:tr>
      <w:tr>
        <w:trPr>
          <w:cantSplit/>
          <w:trHeight w:val="520" w:hRule="atLeast"/>
        </w:trPr>
        <w:tc>
          <w:tcPr>
            <w:tcW w:type="dxa" w:w="1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Semaines 3 à 8</w:t>
            </w:r>
          </w:p>
        </w:tc>
        <w:tc>
          <w:tcPr>
            <w:tcW w:type="dxa" w:w="5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Collectes, tri et découpe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en montée en charge ; validation des premiers objets.</w:t>
            </w:r>
          </w:p>
        </w:tc>
        <w:tc>
          <w:tcPr>
            <w:tcW w:type="dxa" w:w="27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Fiches de suivi, suivi SaaS par site</w:t>
            </w:r>
          </w:p>
        </w:tc>
      </w:tr>
      <w:tr>
        <w:trPr>
          <w:cantSplit/>
          <w:trHeight w:val="520" w:hRule="atLeast"/>
        </w:trPr>
        <w:tc>
          <w:tcPr>
            <w:tcW w:type="dxa" w:w="1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Semaines 9 à 10</w:t>
            </w:r>
          </w:p>
        </w:tc>
        <w:tc>
          <w:tcPr>
            <w:tcW w:type="dxa" w:w="5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Ateliers et distribution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des kits par nos partenaires de distribution.</w:t>
            </w:r>
          </w:p>
        </w:tc>
        <w:tc>
          <w:tcPr>
            <w:tcW w:type="dxa" w:w="27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Comptes rendus de distribution</w:t>
            </w:r>
          </w:p>
        </w:tc>
      </w:tr>
      <w:tr>
        <w:trPr>
          <w:cantSplit/>
          <w:trHeight w:val="520" w:hRule="atLeast"/>
        </w:trPr>
        <w:tc>
          <w:tcPr>
            <w:tcW w:type="dxa" w:w="19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Semaines 11 à 12</w:t>
            </w:r>
          </w:p>
        </w:tc>
        <w:tc>
          <w:tcPr>
            <w:tcW w:type="dxa" w:w="5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Bilan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chiffré, retours des industriels et des bénéficiaires, décision de poursuite ou d’extension.</w:t>
            </w:r>
          </w:p>
        </w:tc>
        <w:tc>
          <w:tcPr>
            <w:tcW w:type="dxa" w:w="27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Rapport d’impact mensuel (PDF), communiqué chaque trimestre, plan de déploiement</w:t>
            </w:r>
          </w:p>
        </w:tc>
      </w:tr>
    </w:tbl>
    <w:p>
      <w:pPr>
        <w:spacing w:after="0" w:before="0" w:line="4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9486"/>
      </w:tblGrid>
      <w:tr>
        <w:trPr>
          <w:cantSplit/>
          <w:trHeight w:val="480" w:hRule="atLeast"/>
        </w:trPr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0"/>
                <w:szCs w:val="30"/>
              </w:rPr>
              <w:t xml:space="preserve">4</w:t>
            </w:r>
          </w:p>
        </w:tc>
        <w:tc>
          <w:tcPr>
            <w:tcW w:type="dxa" w:w="9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6"/>
                <w:szCs w:val="26"/>
              </w:rPr>
              <w:t xml:space="preserve">Moyens et gouvernance</w:t>
            </w:r>
          </w:p>
        </w:tc>
      </w:tr>
    </w:tbl>
    <w:p>
      <w:pPr>
        <w:spacing w:after="0" w:before="0" w:line="4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7406"/>
      </w:tblGrid>
      <w:tr>
        <w:trPr>
          <w:cantSplit/>
          <w:trHeight w:val="460" w:hRule="atLeast"/>
        </w:trPr>
        <w:tc>
          <w:tcPr>
            <w:tcW w:type="dxa" w:w="2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Acteur</w:t>
            </w:r>
          </w:p>
        </w:tc>
        <w:tc>
          <w:tcPr>
            <w:tcW w:type="dxa" w:w="7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Rôle dans le pilote</w:t>
            </w:r>
          </w:p>
        </w:tc>
      </w:tr>
      <w:tr>
        <w:trPr>
          <w:cantSplit/>
          <w:trHeight w:val="380" w:hRule="atLeast"/>
        </w:trPr>
        <w:tc>
          <w:tcPr>
            <w:tcW w:type="dxa" w:w="2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Industriels (sites pilotes)</w:t>
            </w:r>
          </w:p>
        </w:tc>
        <w:tc>
          <w:tcPr>
            <w:tcW w:type="dxa" w:w="7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Référent site, emplacement des chariots, consignes de dépôt, créneaux, validation de la charte de confidentialité et des kits ; comité de pilotage (indicateurs, arbitrages).</w:t>
            </w:r>
          </w:p>
        </w:tc>
      </w:tr>
      <w:tr>
        <w:trPr>
          <w:cantSplit/>
          <w:trHeight w:val="380" w:hRule="atLeast"/>
        </w:trPr>
        <w:tc>
          <w:tcPr>
            <w:tcW w:type="dxa" w:w="2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Équipe Upcycle Academy (3 à 4 ETP)</w:t>
            </w:r>
          </w:p>
        </w:tc>
        <w:tc>
          <w:tcPr>
            <w:tcW w:type="dxa" w:w="7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1 à 2 chauffeurs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: collecte, transport, scan QR, bon d’enlèvement.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2 agents de tri et de contrôle qualité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: réception, pesée, tri, contrôle qualité, découpe et destruction des marquages à la demande.</w:t>
            </w:r>
          </w:p>
        </w:tc>
      </w:tr>
      <w:tr>
        <w:trPr>
          <w:cantSplit/>
          <w:trHeight w:val="380" w:hRule="atLeast"/>
        </w:trPr>
        <w:tc>
          <w:tcPr>
            <w:tcW w:type="dxa" w:w="2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Flotte et partenaires</w:t>
            </w:r>
          </w:p>
        </w:tc>
        <w:tc>
          <w:tcPr>
            <w:tcW w:type="dxa" w:w="7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2 fourgons Renault Master de 12 m³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et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1 Renault Kangoo de 4 m³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; partenaires stratégiques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BG Environnement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(société locale) et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RT Transport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(société familiale de transport routier international de marchandises).</w:t>
            </w:r>
          </w:p>
        </w:tc>
      </w:tr>
      <w:tr>
        <w:trPr>
          <w:cantSplit/>
          <w:trHeight w:val="380" w:hRule="atLeast"/>
        </w:trPr>
        <w:tc>
          <w:tcPr>
            <w:tcW w:type="dxa" w:w="2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ESAT de Vence et usine partenaire</w:t>
            </w:r>
          </w:p>
        </w:tc>
        <w:tc>
          <w:tcPr>
            <w:tcW w:type="dxa" w:w="7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ESAT : fabrication des objets de couture,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heures de travail inclusif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. Usine : recyclage matière en kits de géométrie et fournitures scolaires.</w:t>
            </w:r>
          </w:p>
        </w:tc>
      </w:tr>
      <w:tr>
        <w:trPr>
          <w:cantSplit/>
          <w:trHeight w:val="380" w:hRule="atLeast"/>
        </w:trPr>
        <w:tc>
          <w:tcPr>
            <w:tcW w:type="dxa" w:w="27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Partenaires de distribution</w:t>
            </w:r>
          </w:p>
        </w:tc>
        <w:tc>
          <w:tcPr>
            <w:tcW w:type="dxa" w:w="74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Bailleurs sociaux, opérateur de mobilité, acteurs de l’enfance et de la jeunesse : remise des kits à leurs locataires, clients ou publics, et </w:t>
            </w: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déclaration du nombre de bénéficiaires</w:t>
            </w: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 (partenariats en cours de discussion).</w:t>
            </w:r>
          </w:p>
        </w:tc>
      </w:tr>
    </w:tbl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9486"/>
      </w:tblGrid>
      <w:tr>
        <w:trPr>
          <w:cantSplit/>
          <w:trHeight w:val="480" w:hRule="atLeast"/>
        </w:trPr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0"/>
                <w:szCs w:val="30"/>
              </w:rPr>
              <w:t xml:space="preserve">5</w:t>
            </w:r>
          </w:p>
        </w:tc>
        <w:tc>
          <w:tcPr>
            <w:tcW w:type="dxa" w:w="9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6"/>
                <w:szCs w:val="26"/>
              </w:rPr>
              <w:t xml:space="preserve">Indicateurs et reporting</w:t>
            </w:r>
          </w:p>
        </w:tc>
      </w:tr>
    </w:tbl>
    <w:p>
      <w:pPr>
        <w:spacing w:after="0" w:before="0" w:line="4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3500"/>
        <w:gridCol w:w="2806"/>
      </w:tblGrid>
      <w:tr>
        <w:trPr>
          <w:cantSplit/>
          <w:trHeight w:val="460" w:hRule="atLeast"/>
        </w:trPr>
        <w:tc>
          <w:tcPr>
            <w:tcW w:type="dxa" w:w="3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Indicateur</w:t>
            </w:r>
          </w:p>
        </w:tc>
        <w:tc>
          <w:tcPr>
            <w:tcW w:type="dxa" w:w="3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Source</w:t>
            </w:r>
          </w:p>
        </w:tc>
        <w:tc>
          <w:tcPr>
            <w:tcW w:type="dxa" w:w="28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Fréquence</w:t>
            </w:r>
          </w:p>
        </w:tc>
      </w:tr>
      <w:tr>
        <w:trPr>
          <w:cantSplit/>
          <w:trHeight w:val="360" w:hRule="atLeast"/>
        </w:trPr>
        <w:tc>
          <w:tcPr>
            <w:tcW w:type="dxa" w:w="3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Collectes, chariots et code de suivi, par site</w:t>
            </w:r>
          </w:p>
        </w:tc>
        <w:tc>
          <w:tcPr>
            <w:tcW w:type="dxa" w:w="3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Scan du QR code</w:t>
            </w:r>
          </w:p>
        </w:tc>
        <w:tc>
          <w:tcPr>
            <w:tcW w:type="dxa" w:w="28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Chaque collecte</w:t>
            </w:r>
          </w:p>
        </w:tc>
      </w:tr>
      <w:tr>
        <w:trPr>
          <w:cantSplit/>
          <w:trHeight w:val="360" w:hRule="atLeast"/>
        </w:trPr>
        <w:tc>
          <w:tcPr>
            <w:tcW w:type="dxa" w:w="3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Poids et unités par catégorie d’EPI</w:t>
            </w:r>
          </w:p>
        </w:tc>
        <w:tc>
          <w:tcPr>
            <w:tcW w:type="dxa" w:w="3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Pesée à l’atelier</w:t>
            </w:r>
          </w:p>
        </w:tc>
        <w:tc>
          <w:tcPr>
            <w:tcW w:type="dxa" w:w="28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Chaque collecte</w:t>
            </w:r>
          </w:p>
        </w:tc>
      </w:tr>
      <w:tr>
        <w:trPr>
          <w:cantSplit/>
          <w:trHeight w:val="360" w:hRule="atLeast"/>
        </w:trPr>
        <w:tc>
          <w:tcPr>
            <w:tcW w:type="dxa" w:w="3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Taux de valorisation matière (cible 99 %)</w:t>
            </w:r>
          </w:p>
        </w:tc>
        <w:tc>
          <w:tcPr>
            <w:tcW w:type="dxa" w:w="3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Poids valorisé ÷ poids collecté</w:t>
            </w:r>
          </w:p>
        </w:tc>
        <w:tc>
          <w:tcPr>
            <w:tcW w:type="dxa" w:w="28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Suivi SaaS continu</w:t>
            </w:r>
          </w:p>
        </w:tc>
      </w:tr>
      <w:tr>
        <w:trPr>
          <w:cantSplit/>
          <w:trHeight w:val="360" w:hRule="atLeast"/>
        </w:trPr>
        <w:tc>
          <w:tcPr>
            <w:tcW w:type="dxa" w:w="3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Objets réalisés : tote-bags, sacs bourse, trousses, kits à lacer, kits de géométrie</w:t>
            </w:r>
          </w:p>
        </w:tc>
        <w:tc>
          <w:tcPr>
            <w:tcW w:type="dxa" w:w="3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Production atelier, ESAT, usine</w:t>
            </w:r>
          </w:p>
        </w:tc>
        <w:tc>
          <w:tcPr>
            <w:tcW w:type="dxa" w:w="28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Suivi SaaS continu</w:t>
            </w:r>
          </w:p>
        </w:tc>
      </w:tr>
      <w:tr>
        <w:trPr>
          <w:cantSplit/>
          <w:trHeight w:val="360" w:hRule="atLeast"/>
        </w:trPr>
        <w:tc>
          <w:tcPr>
            <w:tcW w:type="dxa" w:w="3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Quantité distribuée, bénéficiaires, associations (noms et coordonnées)</w:t>
            </w:r>
          </w:p>
        </w:tc>
        <w:tc>
          <w:tcPr>
            <w:tcW w:type="dxa" w:w="3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Fiche de distribution</w:t>
            </w:r>
          </w:p>
        </w:tc>
        <w:tc>
          <w:tcPr>
            <w:tcW w:type="dxa" w:w="28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Suivi SaaS continu</w:t>
            </w:r>
          </w:p>
        </w:tc>
      </w:tr>
      <w:tr>
        <w:trPr>
          <w:cantSplit/>
          <w:trHeight w:val="360" w:hRule="atLeast"/>
        </w:trPr>
        <w:tc>
          <w:tcPr>
            <w:tcW w:type="dxa" w:w="3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Heures de travail inclusif créées</w:t>
            </w:r>
          </w:p>
        </w:tc>
        <w:tc>
          <w:tcPr>
            <w:tcW w:type="dxa" w:w="3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Atelier et ESAT de Vence</w:t>
            </w:r>
          </w:p>
        </w:tc>
        <w:tc>
          <w:tcPr>
            <w:tcW w:type="dxa" w:w="28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Suivi SaaS continu</w:t>
            </w:r>
          </w:p>
        </w:tc>
      </w:tr>
      <w:tr>
        <w:trPr>
          <w:cantSplit/>
          <w:trHeight w:val="360" w:hRule="atLeast"/>
        </w:trPr>
        <w:tc>
          <w:tcPr>
            <w:tcW w:type="dxa" w:w="38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Émissions de CO₂e évitées</w:t>
            </w:r>
          </w:p>
        </w:tc>
        <w:tc>
          <w:tcPr>
            <w:tcW w:type="dxa" w:w="3500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Poids recyclé × facteurs Base Empreinte® ADEME</w:t>
            </w:r>
          </w:p>
        </w:tc>
        <w:tc>
          <w:tcPr>
            <w:tcW w:type="dxa" w:w="2806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Chaque rapport</w:t>
            </w:r>
          </w:p>
        </w:tc>
      </w:tr>
    </w:tbl>
    <w:p>
      <w:pPr>
        <w:spacing w:after="0" w:before="0" w:line="4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9486"/>
      </w:tblGrid>
      <w:tr>
        <w:trPr>
          <w:cantSplit/>
          <w:trHeight w:val="480" w:hRule="atLeast"/>
        </w:trPr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0"/>
                <w:szCs w:val="30"/>
              </w:rPr>
              <w:t xml:space="preserve">6</w:t>
            </w:r>
          </w:p>
        </w:tc>
        <w:tc>
          <w:tcPr>
            <w:tcW w:type="dxa" w:w="9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6"/>
                <w:szCs w:val="26"/>
              </w:rPr>
              <w:t xml:space="preserve">Conditions économiques</w:t>
            </w:r>
          </w:p>
        </w:tc>
      </w:tr>
    </w:tbl>
    <w:p>
      <w:pPr>
        <w:spacing w:after="0" w:before="0" w:line="4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  <w:trHeight w:val="460" w:hRule="atLeast"/>
        </w:trPr>
        <w:tc>
          <w:tcPr>
            <w:tcW w:type="dxa" w:w="5053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Contenants de 500 L collectés</w:t>
            </w:r>
          </w:p>
        </w:tc>
        <w:tc>
          <w:tcPr>
            <w:tcW w:type="dxa" w:w="5053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20"/>
                <w:szCs w:val="20"/>
              </w:rPr>
              <w:t xml:space="preserve">Prix HT par contenant</w:t>
            </w:r>
          </w:p>
        </w:tc>
      </w:tr>
      <w:tr>
        <w:trPr>
          <w:cantSplit/>
          <w:trHeight w:val="340" w:hRule="atLeast"/>
        </w:trPr>
        <w:tc>
          <w:tcPr>
            <w:tcW w:type="dxa" w:w="5053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1 contenant</w:t>
            </w:r>
          </w:p>
        </w:tc>
        <w:tc>
          <w:tcPr>
            <w:tcW w:type="dxa" w:w="5053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157,25 €</w:t>
            </w:r>
          </w:p>
        </w:tc>
      </w:tr>
      <w:tr>
        <w:trPr>
          <w:cantSplit/>
          <w:trHeight w:val="340" w:hRule="atLeast"/>
        </w:trPr>
        <w:tc>
          <w:tcPr>
            <w:tcW w:type="dxa" w:w="5053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2 à 5 contenants</w:t>
            </w:r>
          </w:p>
        </w:tc>
        <w:tc>
          <w:tcPr>
            <w:tcW w:type="dxa" w:w="5053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153,12 €</w:t>
            </w:r>
          </w:p>
        </w:tc>
      </w:tr>
      <w:tr>
        <w:trPr>
          <w:cantSplit/>
          <w:trHeight w:val="340" w:hRule="atLeast"/>
        </w:trPr>
        <w:tc>
          <w:tcPr>
            <w:tcW w:type="dxa" w:w="5053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6 à 10 contenants</w:t>
            </w:r>
          </w:p>
        </w:tc>
        <w:tc>
          <w:tcPr>
            <w:tcW w:type="dxa" w:w="5053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152,06 €</w:t>
            </w:r>
          </w:p>
        </w:tc>
      </w:tr>
      <w:tr>
        <w:trPr>
          <w:cantSplit/>
          <w:trHeight w:val="340" w:hRule="atLeast"/>
        </w:trPr>
        <w:tc>
          <w:tcPr>
            <w:tcW w:type="dxa" w:w="5053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Plus de 10 contenants</w:t>
            </w:r>
          </w:p>
        </w:tc>
        <w:tc>
          <w:tcPr>
            <w:tcW w:type="dxa" w:w="5053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149,00 €</w:t>
            </w:r>
          </w:p>
        </w:tc>
      </w:tr>
      <w:tr>
        <w:trPr>
          <w:cantSplit/>
          <w:trHeight w:val="340" w:hRule="atLeast"/>
        </w:trPr>
        <w:tc>
          <w:tcPr>
            <w:tcW w:type="dxa" w:w="5053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À partir de 16 sites participants</w:t>
            </w:r>
          </w:p>
        </w:tc>
        <w:tc>
          <w:tcPr>
            <w:tcW w:type="dxa" w:w="5053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0"/>
                <w:szCs w:val="20"/>
              </w:rPr>
              <w:t xml:space="preserve">140,00 €</w:t>
            </w:r>
          </w:p>
        </w:tc>
      </w:tr>
    </w:tbl>
    <w:p>
      <w:pPr>
        <w:spacing w:after="0" w:before="80"/>
        <w:jc w:val="left"/>
      </w:pPr>
      <w:r>
        <w:rPr>
          <w:rFonts w:ascii="Arial" w:cs="Arial" w:eastAsia="Arial" w:hAnsi="Arial"/>
          <w:b w:val="false"/>
          <w:bCs w:val="false"/>
          <w:color w:val="232438"/>
          <w:sz w:val="20"/>
          <w:szCs w:val="20"/>
        </w:rPr>
        <w:t xml:space="preserve"/>
      </w:r>
      <w:r>
        <w:rPr>
          <w:rFonts w:ascii="Arial" w:cs="Arial" w:eastAsia="Arial" w:hAnsi="Arial"/>
          <w:b/>
          <w:bCs/>
          <w:color w:val="1B5B3F"/>
          <w:sz w:val="20"/>
          <w:szCs w:val="20"/>
        </w:rPr>
        <w:t xml:space="preserve">Collecte, transport, traitement et location du contenant inclus</w:t>
      </w:r>
      <w:r>
        <w:rPr>
          <w:rFonts w:ascii="Arial" w:cs="Arial" w:eastAsia="Arial" w:hAnsi="Arial"/>
          <w:b w:val="false"/>
          <w:bCs w:val="false"/>
          <w:color w:val="232438"/>
          <w:sz w:val="20"/>
          <w:szCs w:val="20"/>
        </w:rPr>
        <w:t xml:space="preserve">, sans autres frais. Minimum de facturation : </w:t>
      </w:r>
      <w:r>
        <w:rPr>
          <w:rFonts w:ascii="Arial" w:cs="Arial" w:eastAsia="Arial" w:hAnsi="Arial"/>
          <w:b/>
          <w:bCs/>
          <w:color w:val="1B5B3F"/>
          <w:sz w:val="20"/>
          <w:szCs w:val="20"/>
        </w:rPr>
        <w:t xml:space="preserve">[à préciser]</w:t>
      </w:r>
      <w:r>
        <w:rPr>
          <w:rFonts w:ascii="Arial" w:cs="Arial" w:eastAsia="Arial" w:hAnsi="Arial"/>
          <w:b w:val="false"/>
          <w:bCs w:val="false"/>
          <w:color w:val="232438"/>
          <w:sz w:val="20"/>
          <w:szCs w:val="20"/>
        </w:rPr>
        <w:t xml:space="preserve">.</w:t>
      </w:r>
    </w:p>
    <w:p>
      <w:pPr>
        <w:spacing w:after="0" w:before="0" w:line="4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9486"/>
      </w:tblGrid>
      <w:tr>
        <w:trPr>
          <w:cantSplit/>
          <w:trHeight w:val="480" w:hRule="atLeast"/>
        </w:trPr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0"/>
                <w:szCs w:val="30"/>
              </w:rPr>
              <w:t xml:space="preserve">7</w:t>
            </w:r>
          </w:p>
        </w:tc>
        <w:tc>
          <w:tcPr>
            <w:tcW w:type="dxa" w:w="9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6"/>
                <w:szCs w:val="26"/>
              </w:rPr>
              <w:t xml:space="preserve">Garanties et points à valider</w:t>
            </w:r>
          </w:p>
        </w:tc>
      </w:tr>
    </w:tbl>
    <w:p>
      <w:pPr>
        <w:spacing w:after="0" w:before="0" w:line="4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  <w:trHeight w:val="1800" w:hRule="atLeast"/>
        </w:trPr>
        <w:tc>
          <w:tcPr>
            <w:tcW w:type="dxa" w:w="5053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2"/>
                <w:szCs w:val="22"/>
              </w:rPr>
              <w:t xml:space="preserve">Garanties proposées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Chaque lot identifié par son code de suivi, de votre site à son affectation finale.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Destruction des marquages et logos à la demande.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Protocole d’hygiène et contrôle avant toute remise de kits.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Suivi SaaS par site et rapport d’impact mensuel, communiqué chaque trimestre.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Pilote sans engagement au-delà de 12 semaines.</w:t>
            </w:r>
          </w:p>
        </w:tc>
        <w:tc>
          <w:tcPr>
            <w:tcW w:type="dxa" w:w="5053"/>
            <w:tcBorders>
              <w:top w:val="single" w:color="B9C7B9" w:sz="4"/>
              <w:left w:val="single" w:color="B9C7B9" w:sz="4"/>
              <w:bottom w:val="single" w:color="B9C7B9" w:sz="4"/>
              <w:right w:val="single" w:color="B9C7B9" w:sz="4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2"/>
                <w:szCs w:val="22"/>
              </w:rPr>
              <w:t xml:space="preserve">À valider avant le lancement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Statut des EPI usagés et obligations de transport de déchets.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Assurance responsabilité civile couvrant l’opération.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Capacité de tri et de découpe (kg par jour), mesurée au démarrage.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Conformité des kits selon leurs publics (familles, enfants) et convention de distribution avec chaque partenaire.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232438"/>
                <w:sz w:val="20"/>
                <w:szCs w:val="20"/>
              </w:rPr>
              <w:t xml:space="preserve">Suppléance des chauffeurs, plan de continuité.</w:t>
            </w:r>
          </w:p>
        </w:tc>
      </w:tr>
    </w:tbl>
    <w:p>
      <w:pPr>
        <w:spacing w:after="0" w:before="0" w:line="4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9486"/>
      </w:tblGrid>
      <w:tr>
        <w:trPr>
          <w:cantSplit/>
          <w:trHeight w:val="480" w:hRule="atLeast"/>
        </w:trPr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E8F55A"/>
                <w:sz w:val="30"/>
                <w:szCs w:val="30"/>
              </w:rPr>
              <w:t xml:space="preserve">8</w:t>
            </w:r>
          </w:p>
        </w:tc>
        <w:tc>
          <w:tcPr>
            <w:tcW w:type="dxa" w:w="9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5B3F"/>
                <w:sz w:val="26"/>
                <w:szCs w:val="26"/>
              </w:rPr>
              <w:t xml:space="preserve">Prochaines étapes</w:t>
            </w:r>
          </w:p>
        </w:tc>
      </w:tr>
    </w:tbl>
    <w:p>
      <w:pPr>
        <w:spacing w:after="0" w:before="0" w:line="4" w:lineRule="exact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21"/>
        <w:gridCol w:w="2021"/>
        <w:gridCol w:w="2021"/>
        <w:gridCol w:w="2021"/>
        <w:gridCol w:w="2022"/>
      </w:tblGrid>
      <w:tr>
        <w:trPr>
          <w:cantSplit/>
          <w:trHeight w:val="1000" w:hRule="atLeast"/>
        </w:trPr>
        <w:tc>
          <w:tcPr>
            <w:tcW w:type="dxa" w:w="2021"/>
            <w:tcBorders>
              <w:top w:val="none" w:color="FFFFFF" w:sz="0"/>
              <w:left w:val="single" w:color="FFFFFF" w:sz="16"/>
              <w:bottom w:val="none" w:color="FFFFFF" w:sz="0"/>
              <w:right w:val="single" w:color="FFFFFF" w:sz="16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C8545"/>
                <w:sz w:val="30"/>
                <w:szCs w:val="30"/>
              </w:rPr>
              <w:t xml:space="preserve">1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19"/>
                <w:szCs w:val="19"/>
              </w:rPr>
              <w:t xml:space="preserve">Visite des ateliers de La Gaude et de Vence</w:t>
            </w:r>
          </w:p>
        </w:tc>
        <w:tc>
          <w:tcPr>
            <w:tcW w:type="dxa" w:w="2021"/>
            <w:tcBorders>
              <w:top w:val="none" w:color="FFFFFF" w:sz="0"/>
              <w:left w:val="single" w:color="FFFFFF" w:sz="16"/>
              <w:bottom w:val="none" w:color="FFFFFF" w:sz="0"/>
              <w:right w:val="single" w:color="FFFFFF" w:sz="16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C8545"/>
                <w:sz w:val="30"/>
                <w:szCs w:val="30"/>
              </w:rPr>
              <w:t xml:space="preserve">2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19"/>
                <w:szCs w:val="19"/>
              </w:rPr>
              <w:t xml:space="preserve">Décision du collectif</w:t>
            </w:r>
          </w:p>
        </w:tc>
        <w:tc>
          <w:tcPr>
            <w:tcW w:type="dxa" w:w="2021"/>
            <w:tcBorders>
              <w:top w:val="none" w:color="FFFFFF" w:sz="0"/>
              <w:left w:val="single" w:color="FFFFFF" w:sz="16"/>
              <w:bottom w:val="none" w:color="FFFFFF" w:sz="0"/>
              <w:right w:val="single" w:color="FFFFFF" w:sz="16"/>
            </w:tcBorders>
            <w:shd w:fill="E3F1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C8545"/>
                <w:sz w:val="30"/>
                <w:szCs w:val="30"/>
              </w:rPr>
              <w:t xml:space="preserve">3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19"/>
                <w:szCs w:val="19"/>
              </w:rPr>
              <w:t xml:space="preserve">Convention de pilote et attribution des codes</w:t>
            </w:r>
          </w:p>
        </w:tc>
        <w:tc>
          <w:tcPr>
            <w:tcW w:type="dxa" w:w="2021"/>
            <w:tcBorders>
              <w:top w:val="none" w:color="FFFFFF" w:sz="0"/>
              <w:left w:val="single" w:color="FFFFFF" w:sz="16"/>
              <w:bottom w:val="none" w:color="FFFFFF" w:sz="0"/>
              <w:right w:val="single" w:color="FFFFFF" w:sz="16"/>
            </w:tcBorders>
            <w:shd w:fill="E2F2E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C8545"/>
                <w:sz w:val="30"/>
                <w:szCs w:val="30"/>
              </w:rPr>
              <w:t xml:space="preserve">4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19"/>
                <w:szCs w:val="19"/>
              </w:rPr>
              <w:t xml:space="preserve">Mise à disposition des chariots</w:t>
            </w:r>
          </w:p>
        </w:tc>
        <w:tc>
          <w:tcPr>
            <w:tcW w:type="dxa" w:w="2022"/>
            <w:tcBorders>
              <w:top w:val="none" w:color="FFFFFF" w:sz="0"/>
              <w:left w:val="single" w:color="FFFFFF" w:sz="16"/>
              <w:bottom w:val="none" w:color="FFFFFF" w:sz="0"/>
              <w:right w:val="single" w:color="FFFFFF" w:sz="16"/>
            </w:tcBorders>
            <w:shd w:fill="FCF8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C8545"/>
                <w:sz w:val="30"/>
                <w:szCs w:val="30"/>
              </w:rPr>
              <w:t xml:space="preserve">5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19"/>
                <w:szCs w:val="19"/>
              </w:rPr>
              <w:t xml:space="preserve">Première collecte</w:t>
            </w:r>
          </w:p>
        </w:tc>
      </w:tr>
    </w:tbl>
    <w:p>
      <w:pPr>
        <w:spacing w:after="0" w:before="30"/>
        <w:jc w:val="left"/>
      </w:pPr>
      <w:r>
        <w:rPr>
          <w:rFonts w:ascii="Arial" w:cs="Arial" w:eastAsia="Arial" w:hAnsi="Arial"/>
          <w:b/>
          <w:bCs/>
          <w:color w:val="1B5B3F"/>
          <w:sz w:val="18"/>
          <w:szCs w:val="18"/>
        </w:rPr>
        <w:t xml:space="preserve">Contact : Sarah TENAFER, contact@upcycle.academy, +33 6 29 13 19 56.  </w:t>
      </w:r>
    </w:p>
    <w:p>
      <w:pPr>
        <w:spacing w:after="0" w:before="40"/>
        <w:jc w:val="left"/>
      </w:pPr>
      <w:r>
        <w:rPr>
          <w:rFonts w:ascii="Arial" w:cs="Arial" w:eastAsia="Arial" w:hAnsi="Arial"/>
          <w:i/>
          <w:iCs/>
          <w:color w:val="6C8545"/>
          <w:sz w:val="16"/>
          <w:szCs w:val="16"/>
        </w:rPr>
        <w:t xml:space="preserve">Don d’objets : réduction d’impôt possible (art. 238 bis du CGI), accessoire, à valider avec votre expert-comptable.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480" w:right="900" w:bottom="500" w:left="900" w:header="40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6C8545" w:sz="6" w:space="4"/>
      </w:pBdr>
      <w:tabs>
        <w:tab w:val="right" w:pos="10106"/>
      </w:tabs>
    </w:pPr>
    <w:r>
      <w:rPr>
        <w:rFonts w:ascii="Arial" w:cs="Arial" w:eastAsia="Arial" w:hAnsi="Arial"/>
        <w:color w:val="6C8545"/>
        <w:sz w:val="16"/>
        <w:szCs w:val="16"/>
      </w:rPr>
      <w:t xml:space="preserve">Upcycle Academy  ·  862 route de Saint-Laurent-du-Var, ZA Les Nertières, 06610 La Gaude</w:t>
    </w:r>
    <w:r>
      <w:rPr>
        <w:rFonts w:ascii="Arial" w:cs="Arial" w:eastAsia="Arial" w:hAnsi="Arial"/>
        <w:color w:val="6C8545"/>
        <w:sz w:val="16"/>
        <w:szCs w:val="16"/>
      </w:rPr>
      <w:t xml:space="preserve">	Page </w:t>
    </w:r>
    <w:r>
      <w:rPr>
        <w:rFonts w:ascii="Arial" w:cs="Arial" w:eastAsia="Arial" w:hAnsi="Arial"/>
        <w:color w:val="6C854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C8545"/>
        <w:sz w:val="16"/>
        <w:szCs w:val="16"/>
      </w:rPr>
      <w:t xml:space="preserve"> / </w:t>
    </w:r>
    <w:r>
      <w:rPr>
        <w:rFonts w:ascii="Arial" w:cs="Arial" w:eastAsia="Arial" w:hAnsi="Arial"/>
        <w:color w:val="6C854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6C8545" w:sz="6" w:space="4"/>
      </w:pBdr>
      <w:tabs>
        <w:tab w:val="right" w:pos="10106"/>
      </w:tabs>
    </w:pPr>
    <w:r>
      <w:rPr>
        <w:rFonts w:ascii="Arial" w:cs="Arial" w:eastAsia="Arial" w:hAnsi="Arial"/>
        <w:color w:val="6C8545"/>
        <w:sz w:val="16"/>
        <w:szCs w:val="16"/>
      </w:rPr>
      <w:t xml:space="preserve">Upcycle Academy  ·  862 route de Saint-Laurent-du-Var, ZA Les Nertières, 06610 La Gaude</w:t>
    </w:r>
    <w:r>
      <w:rPr>
        <w:rFonts w:ascii="Arial" w:cs="Arial" w:eastAsia="Arial" w:hAnsi="Arial"/>
        <w:color w:val="6C8545"/>
        <w:sz w:val="16"/>
        <w:szCs w:val="16"/>
      </w:rPr>
      <w:t xml:space="preserve">	Page </w:t>
    </w:r>
    <w:r>
      <w:rPr>
        <w:rFonts w:ascii="Arial" w:cs="Arial" w:eastAsia="Arial" w:hAnsi="Arial"/>
        <w:color w:val="6C854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C8545"/>
        <w:sz w:val="16"/>
        <w:szCs w:val="16"/>
      </w:rPr>
      <w:t xml:space="preserve"> / </w:t>
    </w:r>
    <w:r>
      <w:rPr>
        <w:rFonts w:ascii="Arial" w:cs="Arial" w:eastAsia="Arial" w:hAnsi="Arial"/>
        <w:color w:val="6C854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8F55A" w:sz="6" w:space="4"/>
      </w:pBdr>
      <w:jc w:val="right"/>
    </w:pPr>
    <w:r>
      <w:rPr>
        <w:rFonts w:ascii="Arial" w:cs="Arial" w:eastAsia="Arial" w:hAnsi="Arial"/>
        <w:b/>
        <w:bCs/>
        <w:color w:val="1B5B3F"/>
        <w:sz w:val="16"/>
        <w:szCs w:val="16"/>
      </w:rPr>
      <w:t xml:space="preserve">PROJET PILOTE  ·  Collecte et valorisation des EPI jetables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  <w:rPr>
        <w:color w:val="6C854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a24bd50775e6bd4210dcd9e21779be7d7513439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PILOTE  ·  Collecte et valorisation des EPI jetables</dc:title>
  <dc:creator>Upcycle Academy</dc:creator>
  <cp:lastModifiedBy>Un-named</cp:lastModifiedBy>
  <cp:revision>1</cp:revision>
  <dcterms:created xsi:type="dcterms:W3CDTF">2026-10-19T21:44:00.521Z</dcterms:created>
  <dcterms:modified xsi:type="dcterms:W3CDTF">2026-10-19T21:44:00.522Z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