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00"/>
        <w:gridCol w:w="8406"/>
      </w:tblGrid>
      <w:tr>
        <w:trPr>
          <w:cantSplit/>
          <w:trHeight w:val="1500" w:hRule="atLeast"/>
        </w:trPr>
        <w:tc>
          <w:tcPr>
            <w:tcW w:type="dxa" w:w="1700"/>
            <w:tcBorders>
              <w:top w:val="none" w:color="FFFFFF" w:sz="0"/>
              <w:left w:val="none" w:color="FFFFFF" w:sz="0"/>
              <w:bottom w:val="none" w:color="FFFFFF" w:sz="0"/>
              <w:right w:val="none" w:color="FFFFFF" w:sz="0"/>
            </w:tcBorders>
            <w:shd w:fill="FFFFFF" w:color="auto" w:val="clear"/>
            <w:tcMar>
              <w:top w:type="dxa" w:w="80"/>
              <w:left w:type="dxa" w:w="120"/>
              <w:bottom w:type="dxa" w:w="80"/>
              <w:right w:type="dxa" w:w="120"/>
            </w:tcMar>
            <w:vAlign w:val="center"/>
          </w:tcPr>
          <w:p>
            <w:pPr>
              <w:spacing w:after="0" w:before="0"/>
              <w:jc w:val="center"/>
            </w:pPr>
            <w:r>
              <w:drawing>
                <wp:inline distT="0" distB="0" distL="0" distR="0">
                  <wp:extent cx="914400" cy="914400"/>
                  <wp:effectExtent t="0" r="0" b="0" l="0"/>
                  <wp:docPr id="1" name="logo" descr="Logo Upcycle Academy"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14400" cy="914400"/>
                          </a:xfrm>
                          <a:prstGeom prst="rect">
                            <a:avLst/>
                          </a:prstGeom>
                        </pic:spPr>
                      </pic:pic>
                    </a:graphicData>
                  </a:graphic>
                </wp:inline>
              </w:drawing>
            </w:r>
          </w:p>
        </w:tc>
        <w:tc>
          <w:tcPr>
            <w:tcW w:type="dxa" w:w="8406"/>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40" w:before="0"/>
              <w:jc w:val="left"/>
            </w:pPr>
            <w:r>
              <w:rPr>
                <w:rFonts w:ascii="Arial" w:cs="Arial" w:eastAsia="Arial" w:hAnsi="Arial"/>
                <w:b/>
                <w:bCs/>
                <w:color w:val="E8F55A"/>
                <w:sz w:val="44"/>
                <w:szCs w:val="44"/>
              </w:rPr>
              <w:t xml:space="preserve">PROTOCOLE D’HYGIÈNE ET DE CONFIDENTIALITÉ</w:t>
            </w:r>
          </w:p>
          <w:p>
            <w:pPr>
              <w:spacing w:after="40" w:before="0"/>
              <w:jc w:val="left"/>
            </w:pPr>
            <w:r>
              <w:rPr>
                <w:rFonts w:ascii="Arial" w:cs="Arial" w:eastAsia="Arial" w:hAnsi="Arial"/>
                <w:color w:val="F6EDC8"/>
                <w:sz w:val="23"/>
                <w:szCs w:val="23"/>
              </w:rPr>
              <w:t xml:space="preserve">Collecte et valorisation des EPI jetables  ·  Pilote Grasse</w:t>
            </w:r>
          </w:p>
          <w:p>
            <w:pPr>
              <w:spacing w:after="0" w:before="0"/>
              <w:jc w:val="left"/>
            </w:pPr>
            <w:r>
              <w:rPr>
                <w:rFonts w:ascii="Arial" w:cs="Arial" w:eastAsia="Arial" w:hAnsi="Arial"/>
                <w:i/>
                <w:iCs/>
                <w:color w:val="BFD8BF"/>
                <w:sz w:val="18"/>
                <w:szCs w:val="18"/>
              </w:rPr>
              <w:t xml:space="preserve">Version de travail  ·  à valider par vos responsables hygiène-sécurité et juridique</w:t>
            </w:r>
          </w:p>
        </w:tc>
      </w:tr>
    </w:tbl>
    <w:p>
      <w:pPr>
        <w:spacing w:after="0" w:before="0" w:line="160" w:lineRule="exact"/>
      </w:pPr>
    </w:p>
    <w:p>
      <w:pPr>
        <w:spacing w:after="100" w:before="0" w:line="300"/>
        <w:jc w:val="left"/>
      </w:pPr>
      <w:r>
        <w:rPr>
          <w:rFonts w:ascii="Arial" w:cs="Arial" w:eastAsia="Arial" w:hAnsi="Arial"/>
          <w:b w:val="false"/>
          <w:bCs w:val="false"/>
          <w:color w:val="232438"/>
          <w:sz w:val="20"/>
          <w:szCs w:val="20"/>
        </w:rPr>
        <w:t xml:space="preserve">Ce protocole décrit comment chaque lot d’EPI est </w:t>
      </w:r>
      <w:r>
        <w:rPr>
          <w:rFonts w:ascii="Arial" w:cs="Arial" w:eastAsia="Arial" w:hAnsi="Arial"/>
          <w:b/>
          <w:bCs/>
          <w:color w:val="1B5B3F"/>
          <w:sz w:val="20"/>
          <w:szCs w:val="20"/>
        </w:rPr>
        <w:t xml:space="preserve">manipulé, contrôlé et transformé</w:t>
      </w:r>
      <w:r>
        <w:rPr>
          <w:rFonts w:ascii="Arial" w:cs="Arial" w:eastAsia="Arial" w:hAnsi="Arial"/>
          <w:b w:val="false"/>
          <w:bCs w:val="false"/>
          <w:color w:val="232438"/>
          <w:sz w:val="20"/>
          <w:szCs w:val="20"/>
        </w:rPr>
        <w:t xml:space="preserve">, du site industriel à la remise ou à l’utilisation des objets en atelier, pour garantir l’hygiène, la confidentialité et la traçabilité.</w:t>
      </w:r>
    </w:p>
    <w:p>
      <w:pPr>
        <w:spacing w:after="0" w:before="0" w:line="6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1</w:t>
            </w:r>
          </w:p>
        </w:tc>
        <w:tc>
          <w:tcPr>
            <w:tcW w:type="dxa" w:w="948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Du dépôt à la remise : sept étapes maîtrisées</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300"/>
        <w:gridCol w:w="5000"/>
        <w:gridCol w:w="2806"/>
      </w:tblGrid>
      <w:tr>
        <w:trPr>
          <w:cantSplit/>
          <w:trHeight w:val="460" w:hRule="atLeast"/>
        </w:trPr>
        <w:tc>
          <w:tcPr>
            <w:tcW w:type="dxa" w:w="23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Étape</w:t>
            </w:r>
          </w:p>
        </w:tc>
        <w:tc>
          <w:tcPr>
            <w:tcW w:type="dxa" w:w="50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Règles appliquées</w:t>
            </w:r>
          </w:p>
        </w:tc>
        <w:tc>
          <w:tcPr>
            <w:tcW w:type="dxa" w:w="2806"/>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Responsable</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1  Avant dépôt (site industriel)</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Dépôt dans le chariot </w:t>
            </w:r>
            <w:r>
              <w:rPr>
                <w:rFonts w:ascii="Arial" w:cs="Arial" w:eastAsia="Arial" w:hAnsi="Arial"/>
                <w:b/>
                <w:bCs/>
                <w:color w:val="1B5B3F"/>
                <w:sz w:val="20"/>
                <w:szCs w:val="20"/>
              </w:rPr>
              <w:t xml:space="preserve">uniquement</w:t>
            </w:r>
            <w:r>
              <w:rPr>
                <w:rFonts w:ascii="Arial" w:cs="Arial" w:eastAsia="Arial" w:hAnsi="Arial"/>
                <w:b w:val="false"/>
                <w:bCs w:val="false"/>
                <w:color w:val="232438"/>
                <w:sz w:val="20"/>
                <w:szCs w:val="20"/>
              </w:rPr>
              <w:t xml:space="preserve"> d’EPI jetables usagés : charlottes, cache-barbes, blouses, couvre-chaussures, masques. Traces d’huiles essentielles ou de matières aromatiques acceptées.</w:t>
            </w:r>
          </w:p>
          <w:p>
            <w:pPr>
              <w:pStyle w:val="ListParagraph"/>
              <w:numPr>
                <w:ilvl w:val="0"/>
                <w:numId w:val="2"/>
              </w:numPr>
              <w:spacing w:after="40"/>
            </w:pPr>
            <w:r>
              <w:rPr>
                <w:rFonts w:ascii="Arial" w:cs="Arial" w:eastAsia="Arial" w:hAnsi="Arial"/>
                <w:b w:val="false"/>
                <w:bCs w:val="false"/>
                <w:color w:val="232438"/>
                <w:sz w:val="20"/>
                <w:szCs w:val="20"/>
              </w:rPr>
              <w:t xml:space="preserve">Interdits : liquides, objets coupants, déchets mélangés, gants, EPI de zones à risque chimique ou biologique.</w:t>
            </w:r>
          </w:p>
          <w:p>
            <w:pPr>
              <w:pStyle w:val="ListParagraph"/>
              <w:numPr>
                <w:ilvl w:val="0"/>
                <w:numId w:val="2"/>
              </w:numPr>
              <w:spacing w:after="40"/>
            </w:pPr>
            <w:r>
              <w:rPr>
                <w:rFonts w:ascii="Arial" w:cs="Arial" w:eastAsia="Arial" w:hAnsi="Arial"/>
                <w:b w:val="false"/>
                <w:bCs w:val="false"/>
                <w:color w:val="232438"/>
                <w:sz w:val="20"/>
                <w:szCs w:val="20"/>
              </w:rPr>
              <w:t xml:space="preserve">Affiche de consignes apposée sur chaque chariot.</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Référent site</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2  Enlèvement et transport</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Chariots laissés sur site ; contenu transféré dans un </w:t>
            </w:r>
            <w:r>
              <w:rPr>
                <w:rFonts w:ascii="Arial" w:cs="Arial" w:eastAsia="Arial" w:hAnsi="Arial"/>
                <w:b/>
                <w:bCs/>
                <w:color w:val="1B5B3F"/>
                <w:sz w:val="20"/>
                <w:szCs w:val="20"/>
              </w:rPr>
              <w:t xml:space="preserve">big bag d’acheminement</w:t>
            </w:r>
            <w:r>
              <w:rPr>
                <w:rFonts w:ascii="Arial" w:cs="Arial" w:eastAsia="Arial" w:hAnsi="Arial"/>
                <w:b w:val="false"/>
                <w:bCs w:val="false"/>
                <w:color w:val="232438"/>
                <w:sz w:val="20"/>
                <w:szCs w:val="20"/>
              </w:rPr>
              <w:t xml:space="preserve"> portant le </w:t>
            </w:r>
            <w:r>
              <w:rPr>
                <w:rFonts w:ascii="Arial" w:cs="Arial" w:eastAsia="Arial" w:hAnsi="Arial"/>
                <w:b/>
                <w:bCs/>
                <w:color w:val="1B5B3F"/>
                <w:sz w:val="20"/>
                <w:szCs w:val="20"/>
              </w:rPr>
              <w:t xml:space="preserve">code attribué à l’industriel</w:t>
            </w:r>
            <w:r>
              <w:rPr>
                <w:rFonts w:ascii="Arial" w:cs="Arial" w:eastAsia="Arial" w:hAnsi="Arial"/>
                <w:b w:val="false"/>
                <w:bCs w:val="false"/>
                <w:color w:val="232438"/>
                <w:sz w:val="20"/>
                <w:szCs w:val="20"/>
              </w:rPr>
              <w:t xml:space="preserve"> (UA-GR-01 à 20), fermé et étiqueté ; scan du QR code (date, heure, site).</w:t>
            </w:r>
          </w:p>
          <w:p>
            <w:pPr>
              <w:pStyle w:val="ListParagraph"/>
              <w:numPr>
                <w:ilvl w:val="0"/>
                <w:numId w:val="2"/>
              </w:numPr>
              <w:spacing w:after="40"/>
            </w:pPr>
            <w:r>
              <w:rPr>
                <w:rFonts w:ascii="Arial" w:cs="Arial" w:eastAsia="Arial" w:hAnsi="Arial"/>
                <w:b w:val="false"/>
                <w:bCs w:val="false"/>
                <w:color w:val="232438"/>
                <w:sz w:val="20"/>
                <w:szCs w:val="20"/>
              </w:rPr>
              <w:t xml:space="preserve">Bon d’enlèvement signé par le référent site.</w:t>
            </w:r>
          </w:p>
          <w:p>
            <w:pPr>
              <w:pStyle w:val="ListParagraph"/>
              <w:numPr>
                <w:ilvl w:val="0"/>
                <w:numId w:val="2"/>
              </w:numPr>
              <w:spacing w:after="40"/>
            </w:pPr>
            <w:r>
              <w:rPr>
                <w:rFonts w:ascii="Arial" w:cs="Arial" w:eastAsia="Arial" w:hAnsi="Arial"/>
                <w:b w:val="false"/>
                <w:bCs w:val="false"/>
                <w:color w:val="232438"/>
                <w:sz w:val="20"/>
                <w:szCs w:val="20"/>
              </w:rPr>
              <w:t xml:space="preserve">Transport par la flotte propre (Renault Master 12 m³ ou Kangoo 4 m³), big bags calés et protégés ; EPI traités comme </w:t>
            </w:r>
            <w:r>
              <w:rPr>
                <w:rFonts w:ascii="Arial" w:cs="Arial" w:eastAsia="Arial" w:hAnsi="Arial"/>
                <w:b/>
                <w:bCs/>
                <w:color w:val="1B5B3F"/>
                <w:sz w:val="20"/>
                <w:szCs w:val="20"/>
              </w:rPr>
              <w:t xml:space="preserve">déchets</w:t>
            </w:r>
            <w:r>
              <w:rPr>
                <w:rFonts w:ascii="Arial" w:cs="Arial" w:eastAsia="Arial" w:hAnsi="Arial"/>
                <w:b w:val="false"/>
                <w:bCs w:val="false"/>
                <w:color w:val="232438"/>
                <w:sz w:val="20"/>
                <w:szCs w:val="20"/>
              </w:rPr>
              <w:t xml:space="preserve"> : bon d’enlèvement et registre.</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Chauffeur Upcycle Academy</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3  Réception à l’atelier</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Scan du QR code à l’arrivée ; </w:t>
            </w:r>
            <w:r>
              <w:rPr>
                <w:rFonts w:ascii="Arial" w:cs="Arial" w:eastAsia="Arial" w:hAnsi="Arial"/>
                <w:b/>
                <w:bCs/>
                <w:color w:val="1B5B3F"/>
                <w:sz w:val="20"/>
                <w:szCs w:val="20"/>
              </w:rPr>
              <w:t xml:space="preserve">pesée</w:t>
            </w:r>
            <w:r>
              <w:rPr>
                <w:rFonts w:ascii="Arial" w:cs="Arial" w:eastAsia="Arial" w:hAnsi="Arial"/>
                <w:b w:val="false"/>
                <w:bCs w:val="false"/>
                <w:color w:val="232438"/>
                <w:sz w:val="20"/>
                <w:szCs w:val="20"/>
              </w:rPr>
              <w:t xml:space="preserve"> et enregistrement.</w:t>
            </w:r>
          </w:p>
          <w:p>
            <w:pPr>
              <w:pStyle w:val="ListParagraph"/>
              <w:numPr>
                <w:ilvl w:val="0"/>
                <w:numId w:val="2"/>
              </w:numPr>
              <w:spacing w:after="40"/>
            </w:pPr>
            <w:r>
              <w:rPr>
                <w:rFonts w:ascii="Arial" w:cs="Arial" w:eastAsia="Arial" w:hAnsi="Arial"/>
                <w:b w:val="false"/>
                <w:bCs w:val="false"/>
                <w:color w:val="232438"/>
                <w:sz w:val="20"/>
                <w:szCs w:val="20"/>
              </w:rPr>
              <w:t xml:space="preserve">Contrôle visuel du lot : conformité, absence de souillures visibles ou d’odeurs anormales.</w:t>
            </w:r>
          </w:p>
          <w:p>
            <w:pPr>
              <w:pStyle w:val="ListParagraph"/>
              <w:numPr>
                <w:ilvl w:val="0"/>
                <w:numId w:val="2"/>
              </w:numPr>
              <w:spacing w:after="40"/>
            </w:pPr>
            <w:r>
              <w:rPr>
                <w:rFonts w:ascii="Arial" w:cs="Arial" w:eastAsia="Arial" w:hAnsi="Arial"/>
                <w:b w:val="false"/>
                <w:bCs w:val="false"/>
                <w:color w:val="232438"/>
                <w:sz w:val="20"/>
                <w:szCs w:val="20"/>
              </w:rPr>
              <w:t xml:space="preserve">Lot non conforme : mise en quarantaine, fiche de non-conformité, information du référent site.</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Agent de tri et de découpe</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4  Tri</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Tri par catégorie (charlottes, cache-barbes, blouses, couvre-chaussures, masques, autres) ; comptage et poids par catégorie.</w:t>
            </w:r>
          </w:p>
          <w:p>
            <w:pPr>
              <w:pStyle w:val="ListParagraph"/>
              <w:numPr>
                <w:ilvl w:val="0"/>
                <w:numId w:val="2"/>
              </w:numPr>
              <w:spacing w:after="40"/>
            </w:pPr>
            <w:r>
              <w:rPr>
                <w:rFonts w:ascii="Arial" w:cs="Arial" w:eastAsia="Arial" w:hAnsi="Arial"/>
                <w:b w:val="false"/>
                <w:bCs w:val="false"/>
                <w:color w:val="232438"/>
                <w:sz w:val="20"/>
                <w:szCs w:val="20"/>
              </w:rPr>
              <w:t xml:space="preserve">Orientation du lot : </w:t>
            </w:r>
            <w:r>
              <w:rPr>
                <w:rFonts w:ascii="Arial" w:cs="Arial" w:eastAsia="Arial" w:hAnsi="Arial"/>
                <w:b/>
                <w:bCs/>
                <w:color w:val="1B5B3F"/>
                <w:sz w:val="20"/>
                <w:szCs w:val="20"/>
              </w:rPr>
              <w:t xml:space="preserve">recyclage matière (cible 99 %)</w:t>
            </w:r>
            <w:r>
              <w:rPr>
                <w:rFonts w:ascii="Arial" w:cs="Arial" w:eastAsia="Arial" w:hAnsi="Arial"/>
                <w:b w:val="false"/>
                <w:bCs w:val="false"/>
                <w:color w:val="232438"/>
                <w:sz w:val="20"/>
                <w:szCs w:val="20"/>
              </w:rPr>
              <w:t xml:space="preserve">, tote-bags, sacs bourse, trousses et kits à lacer (blouses), kits de géométrie et fournitures scolaires ; fraction non recyclée (environ 1 %) évacuée en élimination.</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Agent de tri et de découpe</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5  Traitement d’hygiène</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Traitement adapté à la matière avant transformation (lavage ou désinfection) : </w:t>
            </w:r>
            <w:r>
              <w:rPr>
                <w:rFonts w:ascii="Arial" w:cs="Arial" w:eastAsia="Arial" w:hAnsi="Arial"/>
                <w:b/>
                <w:bCs/>
                <w:color w:val="1B5B3F"/>
                <w:sz w:val="20"/>
                <w:szCs w:val="20"/>
              </w:rPr>
              <w:t xml:space="preserve">[méthode à définir et à valider]</w:t>
            </w:r>
            <w:r>
              <w:rPr>
                <w:rFonts w:ascii="Arial" w:cs="Arial" w:eastAsia="Arial" w:hAnsi="Arial"/>
                <w:b w:val="false"/>
                <w:bCs w:val="false"/>
                <w:color w:val="232438"/>
                <w:sz w:val="20"/>
                <w:szCs w:val="20"/>
              </w:rPr>
              <w:t xml:space="preserve">.</w:t>
            </w:r>
          </w:p>
          <w:p>
            <w:pPr>
              <w:pStyle w:val="ListParagraph"/>
              <w:numPr>
                <w:ilvl w:val="0"/>
                <w:numId w:val="2"/>
              </w:numPr>
              <w:spacing w:after="40"/>
            </w:pPr>
            <w:r>
              <w:rPr>
                <w:rFonts w:ascii="Arial" w:cs="Arial" w:eastAsia="Arial" w:hAnsi="Arial"/>
                <w:b w:val="false"/>
                <w:bCs w:val="false"/>
                <w:color w:val="232438"/>
                <w:sz w:val="20"/>
                <w:szCs w:val="20"/>
              </w:rPr>
              <w:t xml:space="preserve">Zone d’entrée (lots bruts) séparée de la zone propre (lots traités) ; nettoyage des plans de travail à chaque fin de poste.</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Responsable atelier</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6  Découpe et destruction des marquages</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À la demande de l’industriel</w:t>
            </w:r>
            <w:r>
              <w:rPr>
                <w:rFonts w:ascii="Arial" w:cs="Arial" w:eastAsia="Arial" w:hAnsi="Arial"/>
                <w:b w:val="false"/>
                <w:bCs w:val="false"/>
                <w:color w:val="232438"/>
                <w:sz w:val="20"/>
                <w:szCs w:val="20"/>
              </w:rPr>
              <w:t xml:space="preserve"> : suppression des zones portant logos, noms d’entreprise, références ou étiquettes ; chutes identifiables destinées au recyclage.</w:t>
            </w:r>
          </w:p>
          <w:p>
            <w:pPr>
              <w:pStyle w:val="ListParagraph"/>
              <w:numPr>
                <w:ilvl w:val="0"/>
                <w:numId w:val="2"/>
              </w:numPr>
              <w:spacing w:after="40"/>
            </w:pPr>
            <w:r>
              <w:rPr>
                <w:rFonts w:ascii="Arial" w:cs="Arial" w:eastAsia="Arial" w:hAnsi="Arial"/>
                <w:b w:val="false"/>
                <w:bCs w:val="false"/>
                <w:color w:val="232438"/>
                <w:sz w:val="20"/>
                <w:szCs w:val="20"/>
              </w:rPr>
              <w:t xml:space="preserve">Destruction des marquages mentionnée dans la fiche de suivi du lot.</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Agents de découpe, ESAT de Vence</w:t>
            </w:r>
          </w:p>
        </w:tc>
      </w:tr>
      <w:tr>
        <w:trPr>
          <w:cantSplit/>
          <w:trHeight w:val="700" w:hRule="atLeast"/>
        </w:trPr>
        <w:tc>
          <w:tcPr>
            <w:tcW w:type="dxa" w:w="23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7  Contrôle avant remise ou usage en atelier</w:t>
            </w:r>
          </w:p>
        </w:tc>
        <w:tc>
          <w:tcPr>
            <w:tcW w:type="dxa" w:w="5000"/>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Inspection de chaque lot d’objets, de kits et de fournitures (remis aux partenaires ou utilisés dans nos ateliers) : propreté, absence d’odeur et de résidus, notice jointe.</w:t>
            </w:r>
          </w:p>
          <w:p>
            <w:pPr>
              <w:pStyle w:val="ListParagraph"/>
              <w:numPr>
                <w:ilvl w:val="0"/>
                <w:numId w:val="2"/>
              </w:numPr>
              <w:spacing w:after="40"/>
            </w:pPr>
            <w:r>
              <w:rPr>
                <w:rFonts w:ascii="Arial" w:cs="Arial" w:eastAsia="Arial" w:hAnsi="Arial"/>
                <w:b w:val="false"/>
                <w:bCs w:val="false"/>
                <w:color w:val="232438"/>
                <w:sz w:val="20"/>
                <w:szCs w:val="20"/>
              </w:rPr>
              <w:t xml:space="preserve">Vérification de la conformité du kit selon son public (familles, enfants notamment) : </w:t>
            </w:r>
            <w:r>
              <w:rPr>
                <w:rFonts w:ascii="Arial" w:cs="Arial" w:eastAsia="Arial" w:hAnsi="Arial"/>
                <w:b/>
                <w:bCs/>
                <w:color w:val="1B5B3F"/>
                <w:sz w:val="20"/>
                <w:szCs w:val="20"/>
              </w:rPr>
              <w:t xml:space="preserve">[référentiel à confirmer]</w:t>
            </w:r>
            <w:r>
              <w:rPr>
                <w:rFonts w:ascii="Arial" w:cs="Arial" w:eastAsia="Arial" w:hAnsi="Arial"/>
                <w:b w:val="false"/>
                <w:bCs w:val="false"/>
                <w:color w:val="232438"/>
                <w:sz w:val="20"/>
                <w:szCs w:val="20"/>
              </w:rPr>
              <w:t xml:space="preserve">.</w:t>
            </w:r>
          </w:p>
        </w:tc>
        <w:tc>
          <w:tcPr>
            <w:tcW w:type="dxa" w:w="28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Responsable qualité</w:t>
            </w:r>
          </w:p>
        </w:tc>
      </w:tr>
    </w:tbl>
    <w:p>
      <w:pPr>
        <w:pageBreakBefore/>
        <w:spacing w:after="0" w:before="0" w:line="2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2</w:t>
            </w:r>
          </w:p>
        </w:tc>
        <w:tc>
          <w:tcPr>
            <w:tcW w:type="dxa" w:w="9486"/>
            <w:tcBorders>
              <w:top w:val="none" w:color="FFFFFF" w:sz="0"/>
              <w:left w:val="none" w:color="FFFFFF" w:sz="0"/>
              <w:bottom w:val="none" w:color="FFFFFF" w:sz="0"/>
              <w:right w:val="none" w:color="FFFFFF" w:sz="0"/>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Confidentialité</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000"/>
        <w:gridCol w:w="7106"/>
      </w:tblGrid>
      <w:tr>
        <w:trPr>
          <w:cantSplit/>
          <w:trHeight w:val="460" w:hRule="atLeast"/>
        </w:trPr>
        <w:tc>
          <w:tcPr>
            <w:tcW w:type="dxa" w:w="30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Engagement</w:t>
            </w:r>
          </w:p>
        </w:tc>
        <w:tc>
          <w:tcPr>
            <w:tcW w:type="dxa" w:w="7106"/>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Mise en œuvre</w:t>
            </w:r>
          </w:p>
        </w:tc>
      </w:tr>
      <w:tr>
        <w:trPr>
          <w:cantSplit/>
          <w:trHeight w:val="520" w:hRule="atLeast"/>
        </w:trPr>
        <w:tc>
          <w:tcPr>
            <w:tcW w:type="dxa" w:w="30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Aucun objet identifiable</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À votre demande, marques et logos sont détruits à la découpe ; aucun objet ne porte alors le nom ou le logo de l’entreprise.</w:t>
            </w:r>
          </w:p>
        </w:tc>
      </w:tr>
      <w:tr>
        <w:trPr>
          <w:cantSplit/>
          <w:trHeight w:val="520" w:hRule="atLeast"/>
        </w:trPr>
        <w:tc>
          <w:tcPr>
            <w:tcW w:type="dxa" w:w="30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Accès restreint</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Lots bruts manipulés dans une zone dédiée, accessible au seul personnel autorisé.</w:t>
            </w:r>
          </w:p>
        </w:tc>
      </w:tr>
      <w:tr>
        <w:trPr>
          <w:cantSplit/>
          <w:trHeight w:val="520" w:hRule="atLeast"/>
        </w:trPr>
        <w:tc>
          <w:tcPr>
            <w:tcW w:type="dxa" w:w="30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Preuve</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Mention de la destruction des marquages dans la fiche de suivi du lot, remise sur demande avec la fiche de suivi de collecte.</w:t>
            </w:r>
          </w:p>
        </w:tc>
      </w:tr>
      <w:tr>
        <w:trPr>
          <w:cantSplit/>
          <w:trHeight w:val="520" w:hRule="atLeast"/>
        </w:trPr>
        <w:tc>
          <w:tcPr>
            <w:tcW w:type="dxa" w:w="30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Données</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Seuls les noms et coordonnées des partenaires de distribution figurent dans les rapports, avec leur accord.</w:t>
            </w:r>
          </w:p>
        </w:tc>
      </w:tr>
    </w:tbl>
    <w:p>
      <w:pPr>
        <w:spacing w:after="0" w:before="0" w:line="22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3</w:t>
            </w:r>
          </w:p>
        </w:tc>
        <w:tc>
          <w:tcPr>
            <w:tcW w:type="dxa" w:w="9486"/>
            <w:tcBorders>
              <w:top w:val="none" w:color="FFFFFF" w:sz="0"/>
              <w:left w:val="none" w:color="FFFFFF" w:sz="0"/>
              <w:bottom w:val="none" w:color="FFFFFF" w:sz="0"/>
              <w:right w:val="none" w:color="FFFFFF" w:sz="0"/>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Hygiène et sécurité de l’équipe</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1700" w:hRule="atLeast"/>
        </w:trPr>
        <w:tc>
          <w:tcPr>
            <w:tcW w:type="dxa" w:w="1010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top"/>
          </w:tcPr>
          <w:p>
            <w:pPr>
              <w:pStyle w:val="ListParagraph"/>
              <w:numPr>
                <w:ilvl w:val="0"/>
                <w:numId w:val="2"/>
              </w:numPr>
              <w:spacing w:after="40"/>
            </w:pPr>
            <w:r>
              <w:rPr>
                <w:rFonts w:ascii="Arial" w:cs="Arial" w:eastAsia="Arial" w:hAnsi="Arial"/>
                <w:b w:val="false"/>
                <w:bCs w:val="false"/>
                <w:color w:val="232438"/>
                <w:sz w:val="20"/>
                <w:szCs w:val="20"/>
              </w:rPr>
              <w:t xml:space="preserve">Équipement des agents : gants de manutention, blouse, protection adaptée au poste ; lavage des mains en fin d’opération.</w:t>
            </w:r>
          </w:p>
          <w:p>
            <w:pPr>
              <w:pStyle w:val="ListParagraph"/>
              <w:numPr>
                <w:ilvl w:val="0"/>
                <w:numId w:val="2"/>
              </w:numPr>
              <w:spacing w:after="40"/>
            </w:pPr>
            <w:r>
              <w:rPr>
                <w:rFonts w:ascii="Arial" w:cs="Arial" w:eastAsia="Arial" w:hAnsi="Arial"/>
                <w:b w:val="false"/>
                <w:bCs w:val="false"/>
                <w:color w:val="232438"/>
                <w:sz w:val="20"/>
                <w:szCs w:val="20"/>
              </w:rPr>
              <w:t xml:space="preserve">Aération du local, nettoyage des surfaces et des chariots à chaque rotation.</w:t>
            </w:r>
          </w:p>
          <w:p>
            <w:pPr>
              <w:pStyle w:val="ListParagraph"/>
              <w:numPr>
                <w:ilvl w:val="0"/>
                <w:numId w:val="2"/>
              </w:numPr>
              <w:spacing w:after="40"/>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Big bags nettoyés et contrôlés</w:t>
            </w:r>
            <w:r>
              <w:rPr>
                <w:rFonts w:ascii="Arial" w:cs="Arial" w:eastAsia="Arial" w:hAnsi="Arial"/>
                <w:b w:val="false"/>
                <w:bCs w:val="false"/>
                <w:color w:val="232438"/>
                <w:sz w:val="20"/>
                <w:szCs w:val="20"/>
              </w:rPr>
              <w:t xml:space="preserve"> avant toute réutilisation ; remplacement en cas de détérioration.</w:t>
            </w:r>
          </w:p>
          <w:p>
            <w:pPr>
              <w:pStyle w:val="ListParagraph"/>
              <w:numPr>
                <w:ilvl w:val="0"/>
                <w:numId w:val="2"/>
              </w:numPr>
              <w:spacing w:after="40"/>
            </w:pPr>
            <w:r>
              <w:rPr>
                <w:rFonts w:ascii="Arial" w:cs="Arial" w:eastAsia="Arial" w:hAnsi="Arial"/>
                <w:b w:val="false"/>
                <w:bCs w:val="false"/>
                <w:color w:val="232438"/>
                <w:sz w:val="20"/>
                <w:szCs w:val="20"/>
              </w:rPr>
              <w:t xml:space="preserve">Formation des agents et du chauffeur au protocole avant le premier lot.</w:t>
            </w:r>
          </w:p>
        </w:tc>
      </w:tr>
    </w:tbl>
    <w:p>
      <w:pPr>
        <w:spacing w:after="0" w:before="0" w:line="22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4</w:t>
            </w:r>
          </w:p>
        </w:tc>
        <w:tc>
          <w:tcPr>
            <w:tcW w:type="dxa" w:w="948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Non-conformités et traçabilité</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000"/>
        <w:gridCol w:w="7106"/>
      </w:tblGrid>
      <w:tr>
        <w:trPr>
          <w:cantSplit/>
          <w:trHeight w:val="460" w:hRule="atLeast"/>
        </w:trPr>
        <w:tc>
          <w:tcPr>
            <w:tcW w:type="dxa" w:w="30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Situation</w:t>
            </w:r>
          </w:p>
        </w:tc>
        <w:tc>
          <w:tcPr>
            <w:tcW w:type="dxa" w:w="7106"/>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Action</w:t>
            </w:r>
          </w:p>
        </w:tc>
      </w:tr>
      <w:tr>
        <w:trPr>
          <w:cantSplit/>
          <w:trHeight w:val="620" w:hRule="atLeast"/>
        </w:trPr>
        <w:tc>
          <w:tcPr>
            <w:tcW w:type="dxa" w:w="3000"/>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Lot non conforme (souillure, contamination suspectée)</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Quarantaine du lot, fiche de non-conformité, information du référent site sous </w:t>
            </w:r>
            <w:r>
              <w:rPr>
                <w:rFonts w:ascii="Arial" w:cs="Arial" w:eastAsia="Arial" w:hAnsi="Arial"/>
                <w:b/>
                <w:bCs/>
                <w:color w:val="1B5B3F"/>
                <w:sz w:val="20"/>
                <w:szCs w:val="20"/>
              </w:rPr>
              <w:t xml:space="preserve">[délai à définir]</w:t>
            </w:r>
            <w:r>
              <w:rPr>
                <w:rFonts w:ascii="Arial" w:cs="Arial" w:eastAsia="Arial" w:hAnsi="Arial"/>
                <w:b w:val="false"/>
                <w:bCs w:val="false"/>
                <w:color w:val="232438"/>
                <w:sz w:val="20"/>
                <w:szCs w:val="20"/>
              </w:rPr>
              <w:t xml:space="preserve">, orientation vers une filière adaptée.</w:t>
            </w:r>
          </w:p>
        </w:tc>
      </w:tr>
      <w:tr>
        <w:trPr>
          <w:cantSplit/>
          <w:trHeight w:val="620" w:hRule="atLeast"/>
        </w:trPr>
        <w:tc>
          <w:tcPr>
            <w:tcW w:type="dxa" w:w="3000"/>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Écart de pesée ou de comptage</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Nouvelle pesée contradictoire, correction dans le registre numérique, trace conservée.</w:t>
            </w:r>
          </w:p>
        </w:tc>
      </w:tr>
      <w:tr>
        <w:trPr>
          <w:cantSplit/>
          <w:trHeight w:val="620" w:hRule="atLeast"/>
        </w:trPr>
        <w:tc>
          <w:tcPr>
            <w:tcW w:type="dxa" w:w="3000"/>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Demande de preuve par l’industriel</w:t>
            </w:r>
          </w:p>
        </w:tc>
        <w:tc>
          <w:tcPr>
            <w:tcW w:type="dxa" w:w="71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Extraction du registre par code de suivi : date, site, poids, catégories, traitement, destination ; synthèse dans le rapport d’impact mensuel, communiqué chaque trimestre.</w:t>
            </w:r>
          </w:p>
        </w:tc>
      </w:tr>
    </w:tbl>
    <w:p>
      <w:pPr>
        <w:spacing w:after="0" w:before="0" w:line="20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20" w:hRule="atLeast"/>
        </w:trPr>
        <w:tc>
          <w:tcPr>
            <w:tcW w:type="dxa" w:w="10106"/>
            <w:tcBorders>
              <w:top w:val="none" w:color="FFFFFF" w:sz="0"/>
              <w:left w:val="none" w:color="FFFFFF" w:sz="0"/>
              <w:bottom w:val="none" w:color="FFFFFF" w:sz="0"/>
              <w:right w:val="none" w:color="FFFFFF" w:sz="0"/>
            </w:tcBorders>
            <w:shd w:fill="F0F9B5" w:color="auto" w:val="clear"/>
            <w:tcMar>
              <w:top w:type="dxa" w:w="80"/>
              <w:left w:type="dxa" w:w="120"/>
              <w:bottom w:type="dxa" w:w="80"/>
              <w:right w:type="dxa" w:w="120"/>
            </w:tcMar>
            <w:vAlign w:val="center"/>
          </w:tcPr>
          <w:p>
            <w:pPr>
              <w:spacing w:after="0" w:before="0"/>
              <w:jc w:val="left"/>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Points à confirmer avant diffusion :</w:t>
            </w:r>
            <w:r>
              <w:rPr>
                <w:rFonts w:ascii="Arial" w:cs="Arial" w:eastAsia="Arial" w:hAnsi="Arial"/>
                <w:b w:val="false"/>
                <w:bCs w:val="false"/>
                <w:color w:val="232438"/>
                <w:sz w:val="20"/>
                <w:szCs w:val="20"/>
              </w:rPr>
              <w:t xml:space="preserve"> méthode de traitement d’hygiène, statut réglementaire des EPI usagés et obligations de transport associées, durée de conservation des enregistrements, référentiel de conformité des kits selon leurs publics. Les passages entre crochets sont à compléter.</w:t>
            </w:r>
          </w:p>
        </w:tc>
      </w:tr>
    </w:tbl>
    <w:sectPr>
      <w:headerReference w:type="default" r:id="rId7"/>
      <w:headerReference w:type="first" r:id="rId8"/>
      <w:footerReference w:type="default" r:id="rId9"/>
      <w:footerReference w:type="first" r:id="rId10"/>
      <w:pgSz w:w="11906" w:h="16838" w:orient="portrait"/>
      <w:pgMar w:top="800" w:right="900" w:bottom="900" w:left="900" w:header="40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F55A" w:sz="6" w:space="4"/>
      </w:pBdr>
      <w:jc w:val="right"/>
    </w:pPr>
    <w:r>
      <w:rPr>
        <w:rFonts w:ascii="Arial" w:cs="Arial" w:eastAsia="Arial" w:hAnsi="Arial"/>
        <w:b/>
        <w:bCs/>
        <w:color w:val="1B5B3F"/>
        <w:sz w:val="16"/>
        <w:szCs w:val="16"/>
      </w:rPr>
      <w:t xml:space="preserve">PROTOCOLE D’HYGIÈNE ET DE CONFIDENTIALITÉ  ·  Pilote EPI jetables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6C8545"/>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a24bd50775e6bd4210dcd9e21779be7d751343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PROTOCOLE D’HYGIÈNE ET DE CONFIDENTIALITÉ  ·  Pilote EPI jetables</dc:title>
  <dc:creator>Upcycle Academy</dc:creator>
  <cp:lastModifiedBy>Un-named</cp:lastModifiedBy>
  <cp:revision>1</cp:revision>
  <dcterms:created xsi:type="dcterms:W3CDTF">2026-10-19T21:42:35.058Z</dcterms:created>
  <dcterms:modified xsi:type="dcterms:W3CDTF">2026-10-19T21:42:35.058Z</dcterms:modified>
</cp:coreProperties>
</file>

<file path=docProps/custom.xml><?xml version="1.0" encoding="utf-8"?>
<Properties xmlns="http://schemas.openxmlformats.org/officeDocument/2006/custom-properties" xmlns:vt="http://schemas.openxmlformats.org/officeDocument/2006/docPropsVTypes"/>
</file>